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3B" w:rsidRPr="00FE554B" w:rsidRDefault="00E85217">
      <w:pPr>
        <w:rPr>
          <w:rFonts w:ascii="Times New Roman" w:hAnsi="Times New Roman" w:cs="Times New Roman"/>
          <w:sz w:val="24"/>
          <w:szCs w:val="24"/>
        </w:rPr>
      </w:pPr>
      <w:r w:rsidRPr="00FE554B">
        <w:rPr>
          <w:rFonts w:ascii="Times New Roman" w:hAnsi="Times New Roman" w:cs="Times New Roman"/>
          <w:sz w:val="24"/>
          <w:szCs w:val="24"/>
        </w:rPr>
        <w:t>Hans Wocken</w:t>
      </w:r>
    </w:p>
    <w:p w:rsidR="00E85217" w:rsidRPr="009B673C" w:rsidRDefault="00E85217">
      <w:pPr>
        <w:rPr>
          <w:rFonts w:ascii="Times New Roman" w:hAnsi="Times New Roman" w:cs="Times New Roman"/>
          <w:b/>
          <w:sz w:val="28"/>
          <w:szCs w:val="28"/>
        </w:rPr>
      </w:pPr>
      <w:r w:rsidRPr="009B673C">
        <w:rPr>
          <w:rFonts w:ascii="Times New Roman" w:hAnsi="Times New Roman" w:cs="Times New Roman"/>
          <w:b/>
          <w:sz w:val="28"/>
          <w:szCs w:val="28"/>
        </w:rPr>
        <w:t>Stabile Fehlentwicklung</w:t>
      </w:r>
      <w:r w:rsidR="00E521A8" w:rsidRPr="009B673C">
        <w:rPr>
          <w:rFonts w:ascii="Times New Roman" w:hAnsi="Times New Roman" w:cs="Times New Roman"/>
          <w:b/>
          <w:sz w:val="28"/>
          <w:szCs w:val="28"/>
        </w:rPr>
        <w:t>en</w:t>
      </w:r>
    </w:p>
    <w:p w:rsidR="00B211AA" w:rsidRPr="00FE554B" w:rsidRDefault="000232C1">
      <w:pPr>
        <w:rPr>
          <w:rFonts w:ascii="Times New Roman" w:hAnsi="Times New Roman" w:cs="Times New Roman"/>
          <w:sz w:val="24"/>
          <w:szCs w:val="24"/>
        </w:rPr>
      </w:pPr>
      <w:r w:rsidRPr="00FE554B">
        <w:rPr>
          <w:rFonts w:ascii="Times New Roman" w:hAnsi="Times New Roman" w:cs="Times New Roman"/>
          <w:sz w:val="24"/>
          <w:szCs w:val="24"/>
        </w:rPr>
        <w:t>Etikettierungssc</w:t>
      </w:r>
      <w:r w:rsidR="001A6EFD">
        <w:rPr>
          <w:rFonts w:ascii="Times New Roman" w:hAnsi="Times New Roman" w:cs="Times New Roman"/>
          <w:sz w:val="24"/>
          <w:szCs w:val="24"/>
        </w:rPr>
        <w:t>hwemme und Separationsstillstand weit</w:t>
      </w:r>
      <w:r w:rsidR="009B673C">
        <w:rPr>
          <w:rFonts w:ascii="Times New Roman" w:hAnsi="Times New Roman" w:cs="Times New Roman"/>
          <w:sz w:val="24"/>
          <w:szCs w:val="24"/>
        </w:rPr>
        <w:t xml:space="preserve">erhin </w:t>
      </w:r>
      <w:r w:rsidRPr="00FE554B">
        <w:rPr>
          <w:rFonts w:ascii="Times New Roman" w:hAnsi="Times New Roman" w:cs="Times New Roman"/>
          <w:sz w:val="24"/>
          <w:szCs w:val="24"/>
        </w:rPr>
        <w:t>auf hohem Niveau</w:t>
      </w:r>
    </w:p>
    <w:p w:rsidR="000232C1" w:rsidRPr="00FE554B" w:rsidRDefault="000232C1">
      <w:pPr>
        <w:rPr>
          <w:rFonts w:ascii="Times New Roman" w:hAnsi="Times New Roman" w:cs="Times New Roman"/>
          <w:sz w:val="24"/>
          <w:szCs w:val="24"/>
        </w:rPr>
      </w:pPr>
    </w:p>
    <w:p w:rsidR="00B211AA" w:rsidRPr="00FE554B" w:rsidRDefault="00B211AA">
      <w:pPr>
        <w:rPr>
          <w:rFonts w:ascii="Times New Roman" w:hAnsi="Times New Roman" w:cs="Times New Roman"/>
          <w:b/>
          <w:sz w:val="24"/>
          <w:szCs w:val="24"/>
        </w:rPr>
      </w:pPr>
      <w:r w:rsidRPr="00FE554B">
        <w:rPr>
          <w:rFonts w:ascii="Times New Roman" w:hAnsi="Times New Roman" w:cs="Times New Roman"/>
          <w:b/>
          <w:sz w:val="24"/>
          <w:szCs w:val="24"/>
        </w:rPr>
        <w:t>1. Ein Inklusionsmärchen</w:t>
      </w:r>
    </w:p>
    <w:p w:rsidR="00822EEA" w:rsidRPr="00FE554B" w:rsidRDefault="00822EEA">
      <w:pPr>
        <w:rPr>
          <w:b/>
          <w:sz w:val="24"/>
          <w:szCs w:val="24"/>
        </w:rPr>
      </w:pPr>
    </w:p>
    <w:p w:rsidR="00056E2A" w:rsidRPr="00FE554B" w:rsidRDefault="00822EEA" w:rsidP="00822EEA">
      <w:pPr>
        <w:pStyle w:val="Default"/>
        <w:rPr>
          <w:bCs/>
        </w:rPr>
      </w:pPr>
      <w:r w:rsidRPr="00FE554B">
        <w:t xml:space="preserve">Bayern hat durch die Ratifizierung der UN-BRK völkerrechtlich verbindlich versprochen, ein inklusives Bildungssystem aufzubauen. Der </w:t>
      </w:r>
      <w:r w:rsidRPr="00FE554B">
        <w:rPr>
          <w:bCs/>
        </w:rPr>
        <w:t xml:space="preserve">Ausschuss für die Rechte von Menschen mit Behinderungen (CRPD) </w:t>
      </w:r>
      <w:r w:rsidR="00F70E73">
        <w:rPr>
          <w:bCs/>
        </w:rPr>
        <w:t xml:space="preserve">der Vereinten Nationen </w:t>
      </w:r>
      <w:r w:rsidRPr="00FE554B">
        <w:rPr>
          <w:bCs/>
        </w:rPr>
        <w:t>hat in seinem ersten Staatenbericht sich besorgt darüber geäußert, „dass der Großteil der Schülerinnen und Schüler mit Behinderungen in dem Bildungssystem des Vertragsstaat</w:t>
      </w:r>
      <w:r w:rsidR="00817537">
        <w:rPr>
          <w:bCs/>
        </w:rPr>
        <w:t>e</w:t>
      </w:r>
      <w:r w:rsidRPr="00FE554B">
        <w:rPr>
          <w:bCs/>
        </w:rPr>
        <w:t>s segregierte F</w:t>
      </w:r>
      <w:r w:rsidR="00D003C6">
        <w:rPr>
          <w:bCs/>
        </w:rPr>
        <w:t>örderschulen besucht“ (CRPD 2015</w:t>
      </w:r>
      <w:r w:rsidRPr="00FE554B">
        <w:rPr>
          <w:bCs/>
        </w:rPr>
        <w:t xml:space="preserve">). </w:t>
      </w:r>
      <w:r w:rsidR="006C1732" w:rsidRPr="00FE554B">
        <w:rPr>
          <w:bCs/>
        </w:rPr>
        <w:t>Zugleich hat der Ausschuss Deutschland aufgefordert, „im Interesse der Inklusion das segregierte Schulwesen zurückzubauen</w:t>
      </w:r>
      <w:r w:rsidR="007C20D9">
        <w:rPr>
          <w:bCs/>
        </w:rPr>
        <w:t>“</w:t>
      </w:r>
      <w:r w:rsidR="006C1732" w:rsidRPr="00FE554B">
        <w:rPr>
          <w:bCs/>
        </w:rPr>
        <w:t>, und empfohlen, „dass Regelschulen mit sofortiger Wirkung Kinder mit Behinde</w:t>
      </w:r>
      <w:r w:rsidR="00D003C6">
        <w:rPr>
          <w:bCs/>
        </w:rPr>
        <w:t>rungen aufnehmen“ (CRPD 2015</w:t>
      </w:r>
      <w:r w:rsidR="006C1732" w:rsidRPr="00FE554B">
        <w:rPr>
          <w:bCs/>
        </w:rPr>
        <w:t xml:space="preserve">). Ob der Umbau des segregierenden Schulsystems progressiv vorangeschritten ist, kann empirisch an zweierlei Kriterien gemessen werden: </w:t>
      </w:r>
    </w:p>
    <w:p w:rsidR="00056E2A" w:rsidRPr="00FE554B" w:rsidRDefault="00056E2A" w:rsidP="00056E2A">
      <w:pPr>
        <w:pStyle w:val="Default"/>
        <w:rPr>
          <w:bCs/>
        </w:rPr>
      </w:pPr>
    </w:p>
    <w:p w:rsidR="00056E2A" w:rsidRPr="00FE554B" w:rsidRDefault="006C1732" w:rsidP="00056E2A">
      <w:pPr>
        <w:pStyle w:val="Default"/>
        <w:numPr>
          <w:ilvl w:val="0"/>
          <w:numId w:val="5"/>
        </w:numPr>
        <w:rPr>
          <w:bCs/>
        </w:rPr>
      </w:pPr>
      <w:r w:rsidRPr="00FE554B">
        <w:rPr>
          <w:bCs/>
        </w:rPr>
        <w:t xml:space="preserve">Erstens ein deutlicher </w:t>
      </w:r>
      <w:r w:rsidR="00E95DDC">
        <w:rPr>
          <w:bCs/>
        </w:rPr>
        <w:t>„</w:t>
      </w:r>
      <w:r w:rsidRPr="00FE554B">
        <w:rPr>
          <w:bCs/>
        </w:rPr>
        <w:t>Rückgang der Separation</w:t>
      </w:r>
      <w:r w:rsidR="00E95DDC">
        <w:rPr>
          <w:bCs/>
        </w:rPr>
        <w:t>“</w:t>
      </w:r>
      <w:r w:rsidRPr="00FE554B">
        <w:rPr>
          <w:bCs/>
        </w:rPr>
        <w:t xml:space="preserve"> von Schüler</w:t>
      </w:r>
      <w:r w:rsidR="00817537">
        <w:rPr>
          <w:bCs/>
        </w:rPr>
        <w:t>*innen</w:t>
      </w:r>
      <w:r w:rsidRPr="00FE554B">
        <w:rPr>
          <w:bCs/>
        </w:rPr>
        <w:t xml:space="preserve"> mit Behinderungen in Sonder- oder Förderschulen, und </w:t>
      </w:r>
    </w:p>
    <w:p w:rsidR="00056E2A" w:rsidRPr="00FE554B" w:rsidRDefault="006C1732" w:rsidP="00056E2A">
      <w:pPr>
        <w:pStyle w:val="Default"/>
        <w:numPr>
          <w:ilvl w:val="0"/>
          <w:numId w:val="5"/>
        </w:numPr>
        <w:rPr>
          <w:bCs/>
        </w:rPr>
      </w:pPr>
      <w:r w:rsidRPr="00FE554B">
        <w:rPr>
          <w:bCs/>
        </w:rPr>
        <w:t>zweitens ei</w:t>
      </w:r>
      <w:r w:rsidR="00015456" w:rsidRPr="00FE554B">
        <w:rPr>
          <w:bCs/>
        </w:rPr>
        <w:t xml:space="preserve">n merklicher </w:t>
      </w:r>
      <w:r w:rsidR="00E95DDC">
        <w:rPr>
          <w:bCs/>
        </w:rPr>
        <w:t>„</w:t>
      </w:r>
      <w:r w:rsidR="00015456" w:rsidRPr="00FE554B">
        <w:rPr>
          <w:bCs/>
        </w:rPr>
        <w:t>Anstieg der Inklusion</w:t>
      </w:r>
      <w:r w:rsidR="00E95DDC">
        <w:rPr>
          <w:bCs/>
        </w:rPr>
        <w:t>“</w:t>
      </w:r>
      <w:r w:rsidR="00015456" w:rsidRPr="00FE554B">
        <w:rPr>
          <w:bCs/>
        </w:rPr>
        <w:t xml:space="preserve"> von Schüler</w:t>
      </w:r>
      <w:r w:rsidR="00817537">
        <w:rPr>
          <w:bCs/>
        </w:rPr>
        <w:t>*innen</w:t>
      </w:r>
      <w:r w:rsidR="00015456" w:rsidRPr="00FE554B">
        <w:rPr>
          <w:bCs/>
        </w:rPr>
        <w:t xml:space="preserve"> mit Behin</w:t>
      </w:r>
      <w:r w:rsidR="00056E2A" w:rsidRPr="00FE554B">
        <w:rPr>
          <w:bCs/>
        </w:rPr>
        <w:t>derungen in allgemeine Schulen.</w:t>
      </w:r>
    </w:p>
    <w:p w:rsidR="00056E2A" w:rsidRPr="00FE554B" w:rsidRDefault="00056E2A" w:rsidP="00056E2A">
      <w:pPr>
        <w:pStyle w:val="Default"/>
        <w:rPr>
          <w:bCs/>
        </w:rPr>
      </w:pPr>
    </w:p>
    <w:p w:rsidR="00056E2A" w:rsidRPr="00FE554B" w:rsidRDefault="00056E2A" w:rsidP="00056E2A">
      <w:pPr>
        <w:pStyle w:val="Default"/>
        <w:rPr>
          <w:bCs/>
        </w:rPr>
      </w:pPr>
      <w:r w:rsidRPr="00FE554B">
        <w:rPr>
          <w:bCs/>
        </w:rPr>
        <w:t xml:space="preserve">Die beiden Kriterien </w:t>
      </w:r>
      <w:r w:rsidR="00E95DDC">
        <w:rPr>
          <w:bCs/>
        </w:rPr>
        <w:t>„</w:t>
      </w:r>
      <w:r w:rsidRPr="00FE554B">
        <w:rPr>
          <w:bCs/>
        </w:rPr>
        <w:t>Rückgang der Separation</w:t>
      </w:r>
      <w:r w:rsidR="00E95DDC">
        <w:rPr>
          <w:bCs/>
        </w:rPr>
        <w:t>“</w:t>
      </w:r>
      <w:r w:rsidRPr="00FE554B">
        <w:rPr>
          <w:bCs/>
        </w:rPr>
        <w:t xml:space="preserve"> und </w:t>
      </w:r>
      <w:r w:rsidR="00E95DDC">
        <w:rPr>
          <w:bCs/>
        </w:rPr>
        <w:t>„</w:t>
      </w:r>
      <w:r w:rsidRPr="00FE554B">
        <w:rPr>
          <w:bCs/>
        </w:rPr>
        <w:t>Anstieg der Inklusion</w:t>
      </w:r>
      <w:r w:rsidR="00E95DDC">
        <w:rPr>
          <w:bCs/>
        </w:rPr>
        <w:t>“</w:t>
      </w:r>
      <w:r w:rsidRPr="00FE554B">
        <w:rPr>
          <w:bCs/>
        </w:rPr>
        <w:t xml:space="preserve"> können wie kommunizierende Röhren verstanden werden und gehören unauflöslich zusammen.</w:t>
      </w:r>
      <w:r w:rsidR="005308F1">
        <w:rPr>
          <w:bCs/>
        </w:rPr>
        <w:t xml:space="preserve"> Aus Weggängen aus den Sonder</w:t>
      </w:r>
      <w:r w:rsidR="002F5CC2">
        <w:rPr>
          <w:bCs/>
        </w:rPr>
        <w:t>schulen resultieren Zugänge zu den allgemeinen Schulen.</w:t>
      </w:r>
    </w:p>
    <w:p w:rsidR="00000609" w:rsidRPr="00FE554B" w:rsidRDefault="00056E2A" w:rsidP="00056E2A">
      <w:pPr>
        <w:pStyle w:val="Default"/>
        <w:rPr>
          <w:bCs/>
        </w:rPr>
      </w:pPr>
      <w:r w:rsidRPr="00FE554B">
        <w:rPr>
          <w:bCs/>
        </w:rPr>
        <w:br/>
      </w:r>
      <w:r w:rsidR="00EC2D63" w:rsidRPr="00FE554B">
        <w:rPr>
          <w:bCs/>
        </w:rPr>
        <w:t xml:space="preserve">Vor einigen Jahren habe ich in zwei Untersuchungen die Inklusionsentwicklung in Bayern </w:t>
      </w:r>
      <w:r w:rsidR="00000609" w:rsidRPr="00FE554B">
        <w:rPr>
          <w:bCs/>
        </w:rPr>
        <w:t>u</w:t>
      </w:r>
      <w:r w:rsidR="007B1995">
        <w:rPr>
          <w:bCs/>
        </w:rPr>
        <w:t xml:space="preserve">nd in Deutschland </w:t>
      </w:r>
      <w:r w:rsidR="00000609" w:rsidRPr="00FE554B">
        <w:rPr>
          <w:bCs/>
        </w:rPr>
        <w:t>anhand der offiziellen Statistiken analysiert. Die Titel der beiden Arbeiten g</w:t>
      </w:r>
      <w:r w:rsidR="007B1995">
        <w:rPr>
          <w:bCs/>
        </w:rPr>
        <w:t>eben die zentralen Befunde schlag</w:t>
      </w:r>
      <w:r w:rsidR="00000609" w:rsidRPr="00FE554B">
        <w:rPr>
          <w:bCs/>
        </w:rPr>
        <w:t>wortartig wider:</w:t>
      </w:r>
    </w:p>
    <w:p w:rsidR="00000609" w:rsidRPr="00FE554B" w:rsidRDefault="00000609" w:rsidP="00000609">
      <w:pPr>
        <w:pStyle w:val="Default"/>
        <w:rPr>
          <w:bCs/>
        </w:rPr>
      </w:pPr>
    </w:p>
    <w:p w:rsidR="00000609" w:rsidRPr="00FE554B" w:rsidRDefault="00000609" w:rsidP="00210B22">
      <w:pPr>
        <w:pStyle w:val="Default"/>
        <w:numPr>
          <w:ilvl w:val="0"/>
          <w:numId w:val="2"/>
        </w:numPr>
        <w:rPr>
          <w:bCs/>
        </w:rPr>
      </w:pPr>
      <w:r w:rsidRPr="00FE554B">
        <w:rPr>
          <w:bCs/>
        </w:rPr>
        <w:t>Bayern: „Verkehrte Inklusion: Über die ungerührte Fortsetzung der Separation und die ungeziemende Eingemeindung der</w:t>
      </w:r>
      <w:r w:rsidR="001E54AD">
        <w:rPr>
          <w:bCs/>
        </w:rPr>
        <w:t xml:space="preserve"> Nichtbehinderten“ (Wocken 2014</w:t>
      </w:r>
      <w:r w:rsidRPr="00FE554B">
        <w:rPr>
          <w:bCs/>
        </w:rPr>
        <w:t>).</w:t>
      </w:r>
    </w:p>
    <w:p w:rsidR="00000609" w:rsidRPr="00FE554B" w:rsidRDefault="00000609" w:rsidP="00210B22">
      <w:pPr>
        <w:pStyle w:val="Default"/>
        <w:numPr>
          <w:ilvl w:val="0"/>
          <w:numId w:val="2"/>
        </w:numPr>
        <w:rPr>
          <w:bCs/>
        </w:rPr>
      </w:pPr>
      <w:r w:rsidRPr="00FE554B">
        <w:rPr>
          <w:bCs/>
        </w:rPr>
        <w:t>BRD: „Die verführerische Faszination der Inklusionsquote. Ein Aufschrei gegen die Etikettierungsschwemme und den Sepa</w:t>
      </w:r>
      <w:r w:rsidR="001E54AD">
        <w:rPr>
          <w:bCs/>
        </w:rPr>
        <w:t>rationsstillstand“ (Wocken 2016</w:t>
      </w:r>
      <w:r w:rsidRPr="00FE554B">
        <w:rPr>
          <w:bCs/>
        </w:rPr>
        <w:t>).</w:t>
      </w:r>
    </w:p>
    <w:p w:rsidR="00000609" w:rsidRPr="00FE554B" w:rsidRDefault="00000609" w:rsidP="00000609">
      <w:pPr>
        <w:pStyle w:val="Default"/>
        <w:rPr>
          <w:bCs/>
        </w:rPr>
      </w:pPr>
    </w:p>
    <w:p w:rsidR="00D855E2" w:rsidRDefault="006C31BE" w:rsidP="00000609">
      <w:pPr>
        <w:pStyle w:val="Default"/>
        <w:rPr>
          <w:bCs/>
        </w:rPr>
      </w:pPr>
      <w:r w:rsidRPr="00FE554B">
        <w:rPr>
          <w:bCs/>
        </w:rPr>
        <w:t>Der festgestellte Stand der Inklusionsreform bis zum Schulja</w:t>
      </w:r>
      <w:r w:rsidR="00056E2A" w:rsidRPr="00FE554B">
        <w:rPr>
          <w:bCs/>
        </w:rPr>
        <w:t>hr 2013/14 war in hohem Maße unbefriedigend.</w:t>
      </w:r>
      <w:r w:rsidRPr="00FE554B">
        <w:rPr>
          <w:bCs/>
        </w:rPr>
        <w:t xml:space="preserve"> Auch der Prüfbericht des CRPD-Ausschusses hat sich ja, wie oben bereits zitiert, „besorgt“ geäußert. Nachdem drei weitere Jahre vergangen sind, ist es an der Zeit nachzufragen, ob die „verkehrte Inklusion“</w:t>
      </w:r>
      <w:r w:rsidR="00D855E2" w:rsidRPr="00FE554B">
        <w:rPr>
          <w:bCs/>
        </w:rPr>
        <w:t xml:space="preserve"> mittlerweile in die richtige Richtung geht und empirisch belegbare Erfolge aufweisen kann. Das soll hier für das Bundesland Bayern geschehe</w:t>
      </w:r>
      <w:r w:rsidR="007C20D9">
        <w:rPr>
          <w:bCs/>
        </w:rPr>
        <w:t>n. Die Daten stammen</w:t>
      </w:r>
      <w:r w:rsidR="00D855E2" w:rsidRPr="00FE554B">
        <w:rPr>
          <w:bCs/>
        </w:rPr>
        <w:t xml:space="preserve"> vom Bayerischen Landesamt für Statistik; sie wurden für die Fragestellung aufbereitet und neu berechnet. Die wesentlichen Statistiken </w:t>
      </w:r>
      <w:r w:rsidR="00817537">
        <w:rPr>
          <w:bCs/>
        </w:rPr>
        <w:t xml:space="preserve">sind </w:t>
      </w:r>
      <w:r w:rsidR="00E95DDC">
        <w:rPr>
          <w:bCs/>
        </w:rPr>
        <w:t xml:space="preserve">in </w:t>
      </w:r>
      <w:r w:rsidR="00FC1D45">
        <w:rPr>
          <w:bCs/>
        </w:rPr>
        <w:t>Tabelle 1</w:t>
      </w:r>
      <w:r w:rsidR="00D855E2" w:rsidRPr="00FE554B">
        <w:rPr>
          <w:bCs/>
        </w:rPr>
        <w:t xml:space="preserve"> dokumentiert.</w:t>
      </w:r>
    </w:p>
    <w:p w:rsidR="009B673C" w:rsidRDefault="009B673C" w:rsidP="00000609">
      <w:pPr>
        <w:pStyle w:val="Default"/>
        <w:rPr>
          <w:bCs/>
        </w:rPr>
      </w:pPr>
    </w:p>
    <w:p w:rsidR="009B673C" w:rsidRDefault="009B673C" w:rsidP="009B673C">
      <w:pPr>
        <w:pStyle w:val="Default"/>
        <w:rPr>
          <w:bCs/>
        </w:rPr>
      </w:pPr>
      <w:r w:rsidRPr="00FE554B">
        <w:rPr>
          <w:bCs/>
        </w:rPr>
        <w:t xml:space="preserve">Bayern soll in dieser Analyse nicht anderen Bundesländern vergleichend </w:t>
      </w:r>
      <w:r w:rsidR="007C20D9" w:rsidRPr="00FE554B">
        <w:rPr>
          <w:bCs/>
        </w:rPr>
        <w:t>gegenübergestellt</w:t>
      </w:r>
      <w:r w:rsidRPr="00FE554B">
        <w:rPr>
          <w:bCs/>
        </w:rPr>
        <w:t>, sondern mit sich selbst verglichen werden. Weil es um die Darstellung einer Entwicklung geht, wird das Schuljahr 2008/09</w:t>
      </w:r>
      <w:r>
        <w:rPr>
          <w:bCs/>
        </w:rPr>
        <w:t>, also das letzte Jahr vor der Ratifizierung der UN-</w:t>
      </w:r>
      <w:r w:rsidR="007C20D9">
        <w:rPr>
          <w:bCs/>
        </w:rPr>
        <w:t xml:space="preserve">BRK, </w:t>
      </w:r>
      <w:r w:rsidR="007C20D9" w:rsidRPr="00FE554B">
        <w:rPr>
          <w:bCs/>
        </w:rPr>
        <w:t>als</w:t>
      </w:r>
      <w:r w:rsidRPr="00FE554B">
        <w:rPr>
          <w:bCs/>
        </w:rPr>
        <w:t xml:space="preserve"> Referenzjahr benutzt; die jeweiligen Veränderungen in den folgenden Schuljahren werden dann als prozentuale Abweichungen von diesem Ausgangsjahr dargestellt. Es handelt sich in der Sprache der Statistik um ipsative Messungen, um kontinuierliche </w:t>
      </w:r>
      <w:r w:rsidRPr="00FE554B">
        <w:rPr>
          <w:bCs/>
        </w:rPr>
        <w:lastRenderedPageBreak/>
        <w:t>Wiederholungsm</w:t>
      </w:r>
      <w:r w:rsidR="00815D79">
        <w:rPr>
          <w:bCs/>
        </w:rPr>
        <w:t>essungen des gleichen Untersuchungsgegenstandes</w:t>
      </w:r>
      <w:r w:rsidRPr="00FE554B">
        <w:rPr>
          <w:bCs/>
        </w:rPr>
        <w:t>. Am Beispiel von Tabelle 1, Spalte 5 und 6: Im Schuljahr 2009/10 war die Zahl der Förderschüler in Sonderschulen („Sonderschüler“) von 56.770 auf 56.149 gesunken; das sind 98,9 Prozent des Referenzjahres (=100 Prozent).</w:t>
      </w:r>
      <w:r>
        <w:rPr>
          <w:bCs/>
        </w:rPr>
        <w:t xml:space="preserve"> </w:t>
      </w:r>
    </w:p>
    <w:p w:rsidR="009B673C" w:rsidRPr="00FE554B" w:rsidRDefault="009B673C" w:rsidP="009B673C">
      <w:pPr>
        <w:pStyle w:val="Default"/>
        <w:rPr>
          <w:bCs/>
        </w:rPr>
      </w:pPr>
    </w:p>
    <w:p w:rsidR="009B673C" w:rsidRPr="00FE554B" w:rsidRDefault="009B673C" w:rsidP="009B673C">
      <w:pPr>
        <w:pStyle w:val="Default"/>
      </w:pPr>
      <w:r w:rsidRPr="00FE554B">
        <w:t xml:space="preserve">Zur Vermeidung von Missverständnissen ist </w:t>
      </w:r>
      <w:r w:rsidR="007C20D9" w:rsidRPr="00FE554B">
        <w:t>eine klare Terminologie</w:t>
      </w:r>
      <w:r w:rsidRPr="00FE554B">
        <w:t xml:space="preserve"> unverzichtbar. Ich unterteile die Gesamtheit der Förderschüler (= Schüler mit diagnostiziertem sonderpädagogischem Förderbedarf) in die beiden Teilgruppen „Inklusionsschüler“ (= Förderschüler an allgemeinen Schulen) und „Sonderschüler“ (= Förderschüler an Sonderschulen). Diese Begrifflichkeiten wurden ad hoc geprägt und haben nur für den anstehenden Untersuchungszusammenhang Bedeutung.</w:t>
      </w:r>
    </w:p>
    <w:p w:rsidR="00D855E2" w:rsidRDefault="00D855E2" w:rsidP="00000609">
      <w:pPr>
        <w:pStyle w:val="Default"/>
        <w:rPr>
          <w:bCs/>
        </w:rPr>
      </w:pPr>
    </w:p>
    <w:p w:rsidR="00E33BE8" w:rsidRDefault="00E33BE8" w:rsidP="007E68ED">
      <w:pPr>
        <w:pStyle w:val="Default"/>
        <w:rPr>
          <w:noProof/>
          <w:lang w:eastAsia="de-DE"/>
        </w:rPr>
      </w:pPr>
      <w:r>
        <w:rPr>
          <w:noProof/>
          <w:lang w:eastAsia="de-DE"/>
        </w:rPr>
        <w:drawing>
          <wp:anchor distT="0" distB="0" distL="114300" distR="114300" simplePos="0" relativeHeight="251659264" behindDoc="0" locked="0" layoutInCell="1" allowOverlap="1" wp14:anchorId="536F61BB" wp14:editId="5102F727">
            <wp:simplePos x="0" y="0"/>
            <wp:positionH relativeFrom="column">
              <wp:posOffset>0</wp:posOffset>
            </wp:positionH>
            <wp:positionV relativeFrom="paragraph">
              <wp:posOffset>178435</wp:posOffset>
            </wp:positionV>
            <wp:extent cx="5760720" cy="3722370"/>
            <wp:effectExtent l="0" t="0" r="11430" b="11430"/>
            <wp:wrapTight wrapText="bothSides">
              <wp:wrapPolygon edited="0">
                <wp:start x="0" y="0"/>
                <wp:lineTo x="0" y="21556"/>
                <wp:lineTo x="21571" y="21556"/>
                <wp:lineTo x="21571" y="0"/>
                <wp:lineTo x="0" y="0"/>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000609" w:rsidRPr="00FE554B" w:rsidRDefault="00FC1D45" w:rsidP="007E68ED">
      <w:pPr>
        <w:pStyle w:val="Default"/>
      </w:pPr>
      <w:r>
        <w:t>Abb.</w:t>
      </w:r>
      <w:r w:rsidR="00B16EBE" w:rsidRPr="00FE554B">
        <w:t xml:space="preserve"> 1</w:t>
      </w:r>
      <w:r w:rsidR="00C84343" w:rsidRPr="00FE554B">
        <w:t>: Entwicklung der Schülerzahlen von Förderschülern in allgemeinen Schulen („Inklusionsschüler“) und in Sonderschulen („Sonderschüler</w:t>
      </w:r>
      <w:r w:rsidR="007C20D9" w:rsidRPr="00FE554B">
        <w:t>“) in</w:t>
      </w:r>
      <w:r w:rsidR="00C84343" w:rsidRPr="00FE554B">
        <w:t xml:space="preserve"> Bayern bezogen auf das Referenzjahr 2008/2009</w:t>
      </w:r>
    </w:p>
    <w:p w:rsidR="007E68ED" w:rsidRPr="00FE554B" w:rsidRDefault="007E68ED" w:rsidP="007E68ED">
      <w:pPr>
        <w:pStyle w:val="Default"/>
      </w:pPr>
    </w:p>
    <w:p w:rsidR="00A26BA3" w:rsidRPr="00FE554B" w:rsidRDefault="00A26BA3" w:rsidP="007E68ED">
      <w:pPr>
        <w:pStyle w:val="Default"/>
      </w:pPr>
    </w:p>
    <w:p w:rsidR="00A26BA3" w:rsidRPr="00FE554B" w:rsidRDefault="003807E7" w:rsidP="007E68ED">
      <w:pPr>
        <w:pStyle w:val="Default"/>
      </w:pPr>
      <w:r w:rsidRPr="00FE554B">
        <w:t>Die Analyse soll mit einem Gesamteindruck beginnen und die zahlenmäßige Entwicklung aller „Inklusionsschüler“ und „Sonderschüler“ in ganz Bayern darstellen. Die Datenreihen hierzu finden sich</w:t>
      </w:r>
      <w:r w:rsidR="0082786B" w:rsidRPr="00FE554B">
        <w:t xml:space="preserve"> </w:t>
      </w:r>
      <w:r w:rsidR="007C20D9" w:rsidRPr="00FE554B">
        <w:t>in Tabelle</w:t>
      </w:r>
      <w:r w:rsidR="0082786B" w:rsidRPr="00FE554B">
        <w:t xml:space="preserve"> 1, Spalte 4 und 6; die Abb. 1 gibt die beiden Datenreihen grafisch wider. </w:t>
      </w:r>
    </w:p>
    <w:p w:rsidR="0082786B" w:rsidRPr="00FE554B" w:rsidRDefault="0082786B" w:rsidP="007E68ED">
      <w:pPr>
        <w:pStyle w:val="Default"/>
      </w:pPr>
    </w:p>
    <w:p w:rsidR="0082786B" w:rsidRPr="00FE554B" w:rsidRDefault="0082786B" w:rsidP="007E68ED">
      <w:pPr>
        <w:pStyle w:val="Default"/>
      </w:pPr>
      <w:r w:rsidRPr="00FE554B">
        <w:t xml:space="preserve">Der erste Eindruck ist überwältigend positiv. Die eingangs formulierten Kriterien werden auf den ersten Blick vollauf erfüllt. Erstens geht die Anzahl der Förderschüler in Sonderschulen („Sonderschüler“) kontinuierlich zurück. Damit wäre das erste Kriterium </w:t>
      </w:r>
      <w:r w:rsidR="00F70E73">
        <w:t>„</w:t>
      </w:r>
      <w:r w:rsidRPr="00FE554B">
        <w:t>Rückgang der Separation</w:t>
      </w:r>
      <w:r w:rsidR="00F70E73">
        <w:t>“</w:t>
      </w:r>
      <w:r w:rsidRPr="00FE554B">
        <w:t xml:space="preserve"> scheinbar erfüllt. Zweitens steigt die Anzahl der inkludierten Förderschüler in Allgemeinen Schulen („Inklusionsschüler“) kontinuierlich an, und zwar mit i</w:t>
      </w:r>
      <w:r w:rsidR="00C55361">
        <w:t xml:space="preserve">mponierenden </w:t>
      </w:r>
      <w:r w:rsidR="00C55361">
        <w:lastRenderedPageBreak/>
        <w:t>Fortschrittssprüngen</w:t>
      </w:r>
      <w:r w:rsidR="0078570E">
        <w:t>. Damit wäre auch dem</w:t>
      </w:r>
      <w:r w:rsidRPr="00FE554B">
        <w:t xml:space="preserve"> zweite</w:t>
      </w:r>
      <w:r w:rsidR="0078570E">
        <w:t>n</w:t>
      </w:r>
      <w:r w:rsidRPr="00FE554B">
        <w:t xml:space="preserve"> Kriterium </w:t>
      </w:r>
      <w:r w:rsidR="00F70E73">
        <w:t>„</w:t>
      </w:r>
      <w:r w:rsidRPr="00FE554B">
        <w:t>Anstieg der Inklusion</w:t>
      </w:r>
      <w:r w:rsidR="00F70E73">
        <w:t>“</w:t>
      </w:r>
      <w:r w:rsidRPr="00FE554B">
        <w:t xml:space="preserve"> von Schülern mit Behinderungen in beeindruckender Weise</w:t>
      </w:r>
      <w:r w:rsidR="0078570E">
        <w:t xml:space="preserve"> Genüge getan</w:t>
      </w:r>
      <w:r w:rsidR="00141B90" w:rsidRPr="00FE554B">
        <w:t>. Die Separationsquote sinkt, die Inklusionsquote steigt! Der erste Eindruck verspricht einen wunderbaren Traum, ein bayerisches Inklusionsmärchen, das schöner nicht sein könnte.</w:t>
      </w:r>
    </w:p>
    <w:p w:rsidR="00141B90" w:rsidRPr="00FE554B" w:rsidRDefault="00141B90" w:rsidP="007E68ED">
      <w:pPr>
        <w:pStyle w:val="Default"/>
      </w:pPr>
    </w:p>
    <w:p w:rsidR="00141B90" w:rsidRPr="00FE554B" w:rsidRDefault="00141B90" w:rsidP="007E68ED">
      <w:pPr>
        <w:pStyle w:val="Default"/>
      </w:pPr>
      <w:r w:rsidRPr="00FE554B">
        <w:t>Der erste Eindruck ist leider, leider trügerisch. Wir müssen genauer hinschauen und kritisch nachfrage</w:t>
      </w:r>
      <w:r w:rsidR="00817537">
        <w:t>n, ob erstens die Anzahl der</w:t>
      </w:r>
      <w:r w:rsidRPr="00FE554B">
        <w:t xml:space="preserve"> Förderschüler in Sonderschulen („Sonderschüler“) wirklich zurückgegangen ist, und zweitens, was man von dem imposanten Anstieg der Anzahl der Förderschüler in Allgemeinen Schulen („Inklusionsschüler“) zu halten hat.</w:t>
      </w:r>
    </w:p>
    <w:p w:rsidR="00C84343" w:rsidRPr="00FE554B" w:rsidRDefault="00C84343" w:rsidP="00C84343">
      <w:pPr>
        <w:rPr>
          <w:sz w:val="24"/>
          <w:szCs w:val="24"/>
        </w:rPr>
      </w:pPr>
    </w:p>
    <w:p w:rsidR="00574E2D" w:rsidRPr="00FE554B" w:rsidRDefault="00C327B2">
      <w:pPr>
        <w:rPr>
          <w:rFonts w:ascii="Times New Roman" w:hAnsi="Times New Roman" w:cs="Times New Roman"/>
          <w:b/>
          <w:sz w:val="24"/>
          <w:szCs w:val="24"/>
        </w:rPr>
      </w:pPr>
      <w:r>
        <w:rPr>
          <w:rFonts w:ascii="Times New Roman" w:hAnsi="Times New Roman" w:cs="Times New Roman"/>
          <w:b/>
          <w:sz w:val="24"/>
          <w:szCs w:val="24"/>
        </w:rPr>
        <w:t>2. Der</w:t>
      </w:r>
      <w:r w:rsidR="00574E2D" w:rsidRPr="00FE554B">
        <w:rPr>
          <w:rFonts w:ascii="Times New Roman" w:hAnsi="Times New Roman" w:cs="Times New Roman"/>
          <w:b/>
          <w:sz w:val="24"/>
          <w:szCs w:val="24"/>
        </w:rPr>
        <w:t xml:space="preserve"> Separationsstillstand</w:t>
      </w:r>
    </w:p>
    <w:p w:rsidR="00056E2A" w:rsidRPr="00FE554B" w:rsidRDefault="00056E2A">
      <w:pPr>
        <w:rPr>
          <w:rFonts w:ascii="Times New Roman" w:hAnsi="Times New Roman" w:cs="Times New Roman"/>
          <w:b/>
          <w:sz w:val="24"/>
          <w:szCs w:val="24"/>
        </w:rPr>
      </w:pPr>
    </w:p>
    <w:p w:rsidR="00346A5F" w:rsidRPr="00FE554B" w:rsidRDefault="006A4C61">
      <w:pPr>
        <w:rPr>
          <w:rFonts w:ascii="Times New Roman" w:hAnsi="Times New Roman" w:cs="Times New Roman"/>
          <w:sz w:val="24"/>
          <w:szCs w:val="24"/>
        </w:rPr>
      </w:pPr>
      <w:r w:rsidRPr="00FE554B">
        <w:rPr>
          <w:rFonts w:ascii="Times New Roman" w:hAnsi="Times New Roman" w:cs="Times New Roman"/>
          <w:sz w:val="24"/>
          <w:szCs w:val="24"/>
        </w:rPr>
        <w:t>Die demographische Entwicklung ist in aller Munde. Die Deutschen werden immer weniger, und</w:t>
      </w:r>
      <w:r w:rsidR="009B673C">
        <w:rPr>
          <w:rFonts w:ascii="Times New Roman" w:hAnsi="Times New Roman" w:cs="Times New Roman"/>
          <w:sz w:val="24"/>
          <w:szCs w:val="24"/>
        </w:rPr>
        <w:t xml:space="preserve"> damit </w:t>
      </w:r>
      <w:r w:rsidRPr="00FE554B">
        <w:rPr>
          <w:rFonts w:ascii="Times New Roman" w:hAnsi="Times New Roman" w:cs="Times New Roman"/>
          <w:sz w:val="24"/>
          <w:szCs w:val="24"/>
        </w:rPr>
        <w:t>die Schüler*innen in alle</w:t>
      </w:r>
      <w:r w:rsidR="009B673C">
        <w:rPr>
          <w:rFonts w:ascii="Times New Roman" w:hAnsi="Times New Roman" w:cs="Times New Roman"/>
          <w:sz w:val="24"/>
          <w:szCs w:val="24"/>
        </w:rPr>
        <w:t>n Schulen und Schulformen natürlich</w:t>
      </w:r>
      <w:r w:rsidRPr="00FE554B">
        <w:rPr>
          <w:rFonts w:ascii="Times New Roman" w:hAnsi="Times New Roman" w:cs="Times New Roman"/>
          <w:sz w:val="24"/>
          <w:szCs w:val="24"/>
        </w:rPr>
        <w:t xml:space="preserve"> auch.</w:t>
      </w:r>
      <w:r w:rsidR="00E517C1" w:rsidRPr="00FE554B">
        <w:rPr>
          <w:rFonts w:ascii="Times New Roman" w:hAnsi="Times New Roman" w:cs="Times New Roman"/>
          <w:sz w:val="24"/>
          <w:szCs w:val="24"/>
        </w:rPr>
        <w:t xml:space="preserve"> Just diese demografische Entwicklung gilt es auch bei der Analyse der Inklusionsentwicklung zu beachten, will man nicht einer demografiebedingten Täuschung aufsitzen. </w:t>
      </w:r>
    </w:p>
    <w:p w:rsidR="00E517C1" w:rsidRPr="00FE554B" w:rsidRDefault="00E517C1">
      <w:pPr>
        <w:rPr>
          <w:rFonts w:ascii="Times New Roman" w:hAnsi="Times New Roman" w:cs="Times New Roman"/>
          <w:sz w:val="24"/>
          <w:szCs w:val="24"/>
        </w:rPr>
      </w:pPr>
    </w:p>
    <w:p w:rsidR="00E517C1" w:rsidRPr="00FE554B" w:rsidRDefault="00E517C1">
      <w:pPr>
        <w:rPr>
          <w:rFonts w:ascii="Times New Roman" w:hAnsi="Times New Roman" w:cs="Times New Roman"/>
          <w:sz w:val="24"/>
          <w:szCs w:val="24"/>
        </w:rPr>
      </w:pPr>
      <w:r w:rsidRPr="00FE554B">
        <w:rPr>
          <w:rFonts w:ascii="Times New Roman" w:hAnsi="Times New Roman" w:cs="Times New Roman"/>
          <w:sz w:val="24"/>
          <w:szCs w:val="24"/>
        </w:rPr>
        <w:t>Die Abb. 1 täuscht einen inklusionsbedingten Rückgang der Separation von „Sonderschülern“ vor, den es so nicht gegeben hat. Ausnahmslos alle Schulformen und –arten haben seit dem Referenzjahr 2008/09 eine demografiebedingten Rückgang der Schülerzahlen hinnehmen müssen, und das gilt selbstverständlich auch für die „Sonderschule“!</w:t>
      </w:r>
    </w:p>
    <w:p w:rsidR="00E517C1" w:rsidRPr="00FE554B" w:rsidRDefault="00E517C1">
      <w:pPr>
        <w:rPr>
          <w:rFonts w:ascii="Times New Roman" w:hAnsi="Times New Roman" w:cs="Times New Roman"/>
          <w:sz w:val="24"/>
          <w:szCs w:val="24"/>
        </w:rPr>
      </w:pPr>
    </w:p>
    <w:p w:rsidR="00817537" w:rsidRDefault="00E517C1">
      <w:pPr>
        <w:rPr>
          <w:rFonts w:ascii="Times New Roman" w:hAnsi="Times New Roman" w:cs="Times New Roman"/>
          <w:sz w:val="24"/>
          <w:szCs w:val="24"/>
        </w:rPr>
      </w:pPr>
      <w:r w:rsidRPr="00FE554B">
        <w:rPr>
          <w:rFonts w:ascii="Times New Roman" w:hAnsi="Times New Roman" w:cs="Times New Roman"/>
          <w:sz w:val="24"/>
          <w:szCs w:val="24"/>
        </w:rPr>
        <w:t xml:space="preserve">Der Beweis kann erbracht werden durch einen Vergleich: Wie verläuft der Rückgang der Schülerzahlen in den allgemeinen Schulen (Tabelle1, Spalte 2) im Vergleich zum Schülerrückgang in den Sonderschulen (Tabelle 1, Spalte </w:t>
      </w:r>
      <w:r w:rsidR="005163A6">
        <w:rPr>
          <w:rFonts w:ascii="Times New Roman" w:hAnsi="Times New Roman" w:cs="Times New Roman"/>
          <w:sz w:val="24"/>
          <w:szCs w:val="24"/>
        </w:rPr>
        <w:t>6)?</w:t>
      </w:r>
      <w:r w:rsidR="0038435A" w:rsidRPr="00FE554B">
        <w:rPr>
          <w:rFonts w:ascii="Times New Roman" w:hAnsi="Times New Roman" w:cs="Times New Roman"/>
          <w:sz w:val="24"/>
          <w:szCs w:val="24"/>
        </w:rPr>
        <w:t xml:space="preserve"> Die Schülerrückgänge in den beiden Populationen verlaufen völlig deckungsgleich. Die Differenzen zwis</w:t>
      </w:r>
      <w:r w:rsidR="007C20D9">
        <w:rPr>
          <w:rFonts w:ascii="Times New Roman" w:hAnsi="Times New Roman" w:cs="Times New Roman"/>
          <w:sz w:val="24"/>
          <w:szCs w:val="24"/>
        </w:rPr>
        <w:t>chen den beiden Zahlenreihen sind</w:t>
      </w:r>
      <w:r w:rsidR="0038435A" w:rsidRPr="00FE554B">
        <w:rPr>
          <w:rFonts w:ascii="Times New Roman" w:hAnsi="Times New Roman" w:cs="Times New Roman"/>
          <w:sz w:val="24"/>
          <w:szCs w:val="24"/>
        </w:rPr>
        <w:t xml:space="preserve"> so minimal, dass man sie nicht einmal grafisch abbilden kann. Diese nahezu perfekte Kongruenz der beiden Zahlenreihen nötigt eine ernüchternde Interpretation des vermeintlichen Rückgangs der „Sonderschüler“ auf, nämlich: Der Rückgang der Förderschüler in Sonderschulen („Sonderschüler“) hat nichts, aber auch gar nicht</w:t>
      </w:r>
      <w:r w:rsidR="00817537">
        <w:rPr>
          <w:rFonts w:ascii="Times New Roman" w:hAnsi="Times New Roman" w:cs="Times New Roman"/>
          <w:sz w:val="24"/>
          <w:szCs w:val="24"/>
        </w:rPr>
        <w:t>s</w:t>
      </w:r>
      <w:r w:rsidR="0038435A" w:rsidRPr="00FE554B">
        <w:rPr>
          <w:rFonts w:ascii="Times New Roman" w:hAnsi="Times New Roman" w:cs="Times New Roman"/>
          <w:sz w:val="24"/>
          <w:szCs w:val="24"/>
        </w:rPr>
        <w:t xml:space="preserve"> mit einer wünschenswerten Minderung der Separation zu tun, sondern ist ausschließlich dem allgemeinen </w:t>
      </w:r>
      <w:proofErr w:type="spellStart"/>
      <w:r w:rsidR="0038435A" w:rsidRPr="00FE554B">
        <w:rPr>
          <w:rFonts w:ascii="Times New Roman" w:hAnsi="Times New Roman" w:cs="Times New Roman"/>
          <w:sz w:val="24"/>
          <w:szCs w:val="24"/>
        </w:rPr>
        <w:t>demografiebedingten</w:t>
      </w:r>
      <w:proofErr w:type="spellEnd"/>
      <w:r w:rsidR="0038435A" w:rsidRPr="00FE554B">
        <w:rPr>
          <w:rFonts w:ascii="Times New Roman" w:hAnsi="Times New Roman" w:cs="Times New Roman"/>
          <w:sz w:val="24"/>
          <w:szCs w:val="24"/>
        </w:rPr>
        <w:t xml:space="preserve"> Schülerr</w:t>
      </w:r>
      <w:r w:rsidR="00C55361">
        <w:rPr>
          <w:rFonts w:ascii="Times New Roman" w:hAnsi="Times New Roman" w:cs="Times New Roman"/>
          <w:sz w:val="24"/>
          <w:szCs w:val="24"/>
        </w:rPr>
        <w:t>ückgang überhaupt zuzuschreiben!</w:t>
      </w:r>
      <w:r w:rsidR="0038435A" w:rsidRPr="00FE554B">
        <w:rPr>
          <w:rFonts w:ascii="Times New Roman" w:hAnsi="Times New Roman" w:cs="Times New Roman"/>
          <w:sz w:val="24"/>
          <w:szCs w:val="24"/>
        </w:rPr>
        <w:t xml:space="preserve"> Die Förderschüler in den Sonderschulen („Sonderschüler“) werden nicht wegen der Inklusion weniger, sondern einfach deshalb, weil das allerorten</w:t>
      </w:r>
      <w:r w:rsidR="00817537">
        <w:rPr>
          <w:rFonts w:ascii="Times New Roman" w:hAnsi="Times New Roman" w:cs="Times New Roman"/>
          <w:sz w:val="24"/>
          <w:szCs w:val="24"/>
        </w:rPr>
        <w:t>, in allen Schulen und in allen Schulformen</w:t>
      </w:r>
      <w:r w:rsidR="0038435A" w:rsidRPr="00FE554B">
        <w:rPr>
          <w:rFonts w:ascii="Times New Roman" w:hAnsi="Times New Roman" w:cs="Times New Roman"/>
          <w:sz w:val="24"/>
          <w:szCs w:val="24"/>
        </w:rPr>
        <w:t xml:space="preserve"> </w:t>
      </w:r>
      <w:r w:rsidR="00C760DE">
        <w:rPr>
          <w:rFonts w:ascii="Times New Roman" w:hAnsi="Times New Roman" w:cs="Times New Roman"/>
          <w:sz w:val="24"/>
          <w:szCs w:val="24"/>
        </w:rPr>
        <w:t xml:space="preserve">absolut </w:t>
      </w:r>
      <w:r w:rsidR="0038435A" w:rsidRPr="00FE554B">
        <w:rPr>
          <w:rFonts w:ascii="Times New Roman" w:hAnsi="Times New Roman" w:cs="Times New Roman"/>
          <w:sz w:val="24"/>
          <w:szCs w:val="24"/>
        </w:rPr>
        <w:t xml:space="preserve">üblich und völlig normal ist. </w:t>
      </w:r>
    </w:p>
    <w:p w:rsidR="00817537" w:rsidRDefault="00817537">
      <w:pPr>
        <w:rPr>
          <w:rFonts w:ascii="Times New Roman" w:hAnsi="Times New Roman" w:cs="Times New Roman"/>
          <w:sz w:val="24"/>
          <w:szCs w:val="24"/>
        </w:rPr>
      </w:pPr>
      <w:r>
        <w:rPr>
          <w:rFonts w:ascii="Times New Roman" w:hAnsi="Times New Roman" w:cs="Times New Roman"/>
          <w:sz w:val="24"/>
          <w:szCs w:val="24"/>
        </w:rPr>
        <w:br w:type="page"/>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1112"/>
        <w:gridCol w:w="728"/>
        <w:gridCol w:w="1079"/>
        <w:gridCol w:w="761"/>
        <w:gridCol w:w="1039"/>
        <w:gridCol w:w="801"/>
        <w:gridCol w:w="1080"/>
        <w:gridCol w:w="760"/>
      </w:tblGrid>
      <w:tr w:rsidR="00716BAE" w:rsidRPr="00716BAE" w:rsidTr="007223EC">
        <w:trPr>
          <w:trHeight w:val="735"/>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sz w:val="24"/>
                <w:szCs w:val="24"/>
                <w:lang w:eastAsia="de-DE"/>
              </w:rPr>
            </w:pPr>
          </w:p>
        </w:tc>
        <w:tc>
          <w:tcPr>
            <w:tcW w:w="1840" w:type="dxa"/>
            <w:gridSpan w:val="2"/>
            <w:shd w:val="clear" w:color="auto" w:fill="auto"/>
            <w:noWrap/>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Allgemeine Schulen</w:t>
            </w:r>
          </w:p>
        </w:tc>
        <w:tc>
          <w:tcPr>
            <w:tcW w:w="1840" w:type="dxa"/>
            <w:gridSpan w:val="2"/>
            <w:shd w:val="clear" w:color="auto" w:fill="auto"/>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Förderschüler in Regelschulen</w:t>
            </w:r>
          </w:p>
        </w:tc>
        <w:tc>
          <w:tcPr>
            <w:tcW w:w="1840" w:type="dxa"/>
            <w:gridSpan w:val="2"/>
            <w:shd w:val="clear" w:color="auto" w:fill="auto"/>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Förderschüler in Sonderschulen</w:t>
            </w:r>
          </w:p>
        </w:tc>
        <w:tc>
          <w:tcPr>
            <w:tcW w:w="1840" w:type="dxa"/>
            <w:gridSpan w:val="2"/>
            <w:shd w:val="clear" w:color="auto" w:fill="auto"/>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Förderschüler      Summe</w:t>
            </w:r>
          </w:p>
        </w:tc>
      </w:tr>
      <w:tr w:rsidR="00716BAE" w:rsidRPr="00716BAE" w:rsidTr="007223EC">
        <w:trPr>
          <w:trHeight w:val="735"/>
        </w:trPr>
        <w:tc>
          <w:tcPr>
            <w:tcW w:w="1060" w:type="dxa"/>
            <w:shd w:val="clear" w:color="auto" w:fill="auto"/>
            <w:noWrap/>
            <w:vAlign w:val="bottom"/>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p>
        </w:tc>
        <w:tc>
          <w:tcPr>
            <w:tcW w:w="1840" w:type="dxa"/>
            <w:gridSpan w:val="2"/>
            <w:shd w:val="clear" w:color="auto" w:fill="auto"/>
            <w:noWrap/>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Regelschüler</w:t>
            </w:r>
          </w:p>
        </w:tc>
        <w:tc>
          <w:tcPr>
            <w:tcW w:w="1840" w:type="dxa"/>
            <w:gridSpan w:val="2"/>
            <w:shd w:val="clear" w:color="auto" w:fill="auto"/>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Inklusionsschüler</w:t>
            </w:r>
          </w:p>
        </w:tc>
        <w:tc>
          <w:tcPr>
            <w:tcW w:w="1840" w:type="dxa"/>
            <w:gridSpan w:val="2"/>
            <w:shd w:val="clear" w:color="auto" w:fill="auto"/>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Sonderschüler</w:t>
            </w:r>
          </w:p>
        </w:tc>
        <w:tc>
          <w:tcPr>
            <w:tcW w:w="1840" w:type="dxa"/>
            <w:gridSpan w:val="2"/>
            <w:shd w:val="clear" w:color="auto" w:fill="auto"/>
            <w:vAlign w:val="center"/>
            <w:hideMark/>
          </w:tcPr>
          <w:p w:rsidR="00716BAE" w:rsidRPr="00716BAE" w:rsidRDefault="00716BAE" w:rsidP="00716BAE">
            <w:pPr>
              <w:jc w:val="center"/>
              <w:rPr>
                <w:rFonts w:ascii="Times New Roman" w:eastAsia="Times New Roman" w:hAnsi="Times New Roman" w:cs="Times New Roman"/>
                <w:color w:val="000000"/>
                <w:sz w:val="24"/>
                <w:szCs w:val="24"/>
                <w:lang w:eastAsia="de-DE"/>
              </w:rPr>
            </w:pPr>
            <w:proofErr w:type="spellStart"/>
            <w:r w:rsidRPr="00716BAE">
              <w:rPr>
                <w:rFonts w:ascii="Times New Roman" w:eastAsia="Times New Roman" w:hAnsi="Times New Roman" w:cs="Times New Roman"/>
                <w:color w:val="000000"/>
                <w:sz w:val="24"/>
                <w:szCs w:val="24"/>
                <w:lang w:eastAsia="de-DE"/>
              </w:rPr>
              <w:t>FS</w:t>
            </w:r>
            <w:proofErr w:type="spellEnd"/>
            <w:r w:rsidRPr="00716BAE">
              <w:rPr>
                <w:rFonts w:ascii="Times New Roman" w:eastAsia="Times New Roman" w:hAnsi="Times New Roman" w:cs="Times New Roman"/>
                <w:color w:val="000000"/>
                <w:sz w:val="24"/>
                <w:szCs w:val="24"/>
                <w:lang w:eastAsia="de-DE"/>
              </w:rPr>
              <w:t xml:space="preserve"> -Summe</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Schuljahr</w:t>
            </w:r>
          </w:p>
        </w:tc>
        <w:tc>
          <w:tcPr>
            <w:tcW w:w="1112" w:type="dxa"/>
            <w:shd w:val="clear" w:color="auto" w:fill="auto"/>
            <w:noWrap/>
            <w:vAlign w:val="center"/>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 abs.</w:t>
            </w:r>
          </w:p>
        </w:tc>
        <w:tc>
          <w:tcPr>
            <w:tcW w:w="728" w:type="dxa"/>
            <w:shd w:val="clear" w:color="auto" w:fill="auto"/>
            <w:noWrap/>
            <w:vAlign w:val="center"/>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 %</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(3) abs.</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(4)  %</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 abs.</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(6) %</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(7) abs.</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(8) %</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2008/09</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1343648</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100,0</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11344</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100,0</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56770</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100,0</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68114</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100,0</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2009/10</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1326696</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98,7</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10917</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96,2</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56149</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98,9</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67066</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98,5</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2010/11</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1305523</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97,2</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14534</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128,1</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54914</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96,7</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69448</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102,0</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2011/12</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1254448</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93,4</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16141</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142,3</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53495</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94,2</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69636</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102,2</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2012/13</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1235680</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92,0</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18197</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160,4</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52680</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92,8</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70877</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104,1</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2013/14</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1219834</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90,8</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19289</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170,0</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51623</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90,9</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70912</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104,1</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2014/15</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1208654</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90,0</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19840</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174,9</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51309</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90,4</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71149</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104,5</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2015/16</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1200812</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89,4</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20300</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178,9</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51019</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89,9</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71319</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104,7</w:t>
            </w:r>
          </w:p>
        </w:tc>
      </w:tr>
      <w:tr w:rsidR="00716BAE" w:rsidRPr="00716BAE" w:rsidTr="007223EC">
        <w:trPr>
          <w:trHeight w:val="300"/>
        </w:trPr>
        <w:tc>
          <w:tcPr>
            <w:tcW w:w="1060" w:type="dxa"/>
            <w:shd w:val="clear" w:color="auto" w:fill="auto"/>
            <w:noWrap/>
            <w:vAlign w:val="bottom"/>
            <w:hideMark/>
          </w:tcPr>
          <w:p w:rsidR="00716BAE" w:rsidRPr="00716BAE" w:rsidRDefault="00716BAE" w:rsidP="00716BAE">
            <w:pPr>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2016/17</w:t>
            </w:r>
          </w:p>
        </w:tc>
        <w:tc>
          <w:tcPr>
            <w:tcW w:w="1112"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1212714</w:t>
            </w:r>
          </w:p>
        </w:tc>
        <w:tc>
          <w:tcPr>
            <w:tcW w:w="728"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90,3</w:t>
            </w:r>
          </w:p>
        </w:tc>
        <w:tc>
          <w:tcPr>
            <w:tcW w:w="107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19425,0</w:t>
            </w:r>
          </w:p>
        </w:tc>
        <w:tc>
          <w:tcPr>
            <w:tcW w:w="76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171,2</w:t>
            </w:r>
          </w:p>
        </w:tc>
        <w:tc>
          <w:tcPr>
            <w:tcW w:w="1039"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51338</w:t>
            </w:r>
          </w:p>
        </w:tc>
        <w:tc>
          <w:tcPr>
            <w:tcW w:w="801"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90,4</w:t>
            </w:r>
          </w:p>
        </w:tc>
        <w:tc>
          <w:tcPr>
            <w:tcW w:w="108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70763,0</w:t>
            </w:r>
          </w:p>
        </w:tc>
        <w:tc>
          <w:tcPr>
            <w:tcW w:w="760" w:type="dxa"/>
            <w:shd w:val="clear" w:color="auto" w:fill="auto"/>
            <w:noWrap/>
            <w:vAlign w:val="bottom"/>
            <w:hideMark/>
          </w:tcPr>
          <w:p w:rsidR="00716BAE" w:rsidRPr="00716BAE" w:rsidRDefault="00716BAE" w:rsidP="00716BAE">
            <w:pPr>
              <w:jc w:val="right"/>
              <w:rPr>
                <w:rFonts w:ascii="Times New Roman" w:eastAsia="Times New Roman" w:hAnsi="Times New Roman" w:cs="Times New Roman"/>
                <w:color w:val="000000"/>
                <w:sz w:val="24"/>
                <w:szCs w:val="24"/>
                <w:lang w:eastAsia="de-DE"/>
              </w:rPr>
            </w:pPr>
            <w:r w:rsidRPr="00716BAE">
              <w:rPr>
                <w:rFonts w:ascii="Times New Roman" w:eastAsia="Times New Roman" w:hAnsi="Times New Roman" w:cs="Times New Roman"/>
                <w:color w:val="000000"/>
                <w:sz w:val="24"/>
                <w:szCs w:val="24"/>
                <w:lang w:eastAsia="de-DE"/>
              </w:rPr>
              <w:t>103,9</w:t>
            </w:r>
          </w:p>
        </w:tc>
      </w:tr>
    </w:tbl>
    <w:p w:rsidR="00BD3C7E" w:rsidRPr="00FE554B" w:rsidRDefault="00BD3C7E" w:rsidP="00B211AA">
      <w:pPr>
        <w:rPr>
          <w:sz w:val="24"/>
          <w:szCs w:val="24"/>
        </w:rPr>
      </w:pPr>
    </w:p>
    <w:p w:rsidR="00346A5F" w:rsidRPr="00FE554B" w:rsidRDefault="00FE554B">
      <w:pPr>
        <w:rPr>
          <w:rFonts w:ascii="Times New Roman" w:hAnsi="Times New Roman" w:cs="Times New Roman"/>
          <w:sz w:val="24"/>
          <w:szCs w:val="24"/>
        </w:rPr>
      </w:pPr>
      <w:r w:rsidRPr="00FE554B">
        <w:rPr>
          <w:rFonts w:ascii="Times New Roman" w:hAnsi="Times New Roman" w:cs="Times New Roman"/>
          <w:sz w:val="24"/>
          <w:szCs w:val="24"/>
        </w:rPr>
        <w:t>Tab. 1</w:t>
      </w:r>
      <w:r w:rsidR="00346A5F" w:rsidRPr="00FE554B">
        <w:rPr>
          <w:rFonts w:ascii="Times New Roman" w:hAnsi="Times New Roman" w:cs="Times New Roman"/>
          <w:sz w:val="24"/>
          <w:szCs w:val="24"/>
        </w:rPr>
        <w:t xml:space="preserve">: Entwicklung der </w:t>
      </w:r>
      <w:r w:rsidR="007C0ED3" w:rsidRPr="00FE554B">
        <w:rPr>
          <w:rFonts w:ascii="Times New Roman" w:hAnsi="Times New Roman" w:cs="Times New Roman"/>
          <w:sz w:val="24"/>
          <w:szCs w:val="24"/>
        </w:rPr>
        <w:t xml:space="preserve">Schülerzahlen </w:t>
      </w:r>
      <w:r w:rsidR="007C20D9" w:rsidRPr="00FE554B">
        <w:rPr>
          <w:rFonts w:ascii="Times New Roman" w:hAnsi="Times New Roman" w:cs="Times New Roman"/>
          <w:sz w:val="24"/>
          <w:szCs w:val="24"/>
        </w:rPr>
        <w:t>in den</w:t>
      </w:r>
      <w:r w:rsidR="007C0ED3" w:rsidRPr="00FE554B">
        <w:rPr>
          <w:rFonts w:ascii="Times New Roman" w:hAnsi="Times New Roman" w:cs="Times New Roman"/>
          <w:sz w:val="24"/>
          <w:szCs w:val="24"/>
        </w:rPr>
        <w:t xml:space="preserve"> Allgemeinen Schulen („Regelschüler“</w:t>
      </w:r>
      <w:r w:rsidR="00927E39" w:rsidRPr="00FE554B">
        <w:rPr>
          <w:rFonts w:ascii="Times New Roman" w:hAnsi="Times New Roman" w:cs="Times New Roman"/>
          <w:sz w:val="24"/>
          <w:szCs w:val="24"/>
        </w:rPr>
        <w:t>), der Förderschüler in Regelschulen („</w:t>
      </w:r>
      <w:r w:rsidR="00346A5F" w:rsidRPr="00FE554B">
        <w:rPr>
          <w:rFonts w:ascii="Times New Roman" w:hAnsi="Times New Roman" w:cs="Times New Roman"/>
          <w:sz w:val="24"/>
          <w:szCs w:val="24"/>
        </w:rPr>
        <w:t>Inklusionsschüler</w:t>
      </w:r>
      <w:r w:rsidR="00927E39" w:rsidRPr="00FE554B">
        <w:rPr>
          <w:rFonts w:ascii="Times New Roman" w:hAnsi="Times New Roman" w:cs="Times New Roman"/>
          <w:sz w:val="24"/>
          <w:szCs w:val="24"/>
        </w:rPr>
        <w:t>“) und der Förderschüler in Sonderschulen („Sonderschüler“). Die prozentualen Angaben wurden jeweils</w:t>
      </w:r>
      <w:r w:rsidR="00346A5F" w:rsidRPr="00FE554B">
        <w:rPr>
          <w:rFonts w:ascii="Times New Roman" w:hAnsi="Times New Roman" w:cs="Times New Roman"/>
          <w:sz w:val="24"/>
          <w:szCs w:val="24"/>
        </w:rPr>
        <w:t xml:space="preserve"> in Relation zum Referenzjahr 2008/09</w:t>
      </w:r>
      <w:r w:rsidR="00927E39" w:rsidRPr="00FE554B">
        <w:rPr>
          <w:rFonts w:ascii="Times New Roman" w:hAnsi="Times New Roman" w:cs="Times New Roman"/>
          <w:sz w:val="24"/>
          <w:szCs w:val="24"/>
        </w:rPr>
        <w:t xml:space="preserve"> berechnet.</w:t>
      </w:r>
    </w:p>
    <w:p w:rsidR="00346A5F" w:rsidRPr="00FE554B" w:rsidRDefault="00346A5F">
      <w:pPr>
        <w:rPr>
          <w:sz w:val="24"/>
          <w:szCs w:val="24"/>
        </w:rPr>
      </w:pPr>
    </w:p>
    <w:p w:rsidR="00196296" w:rsidRPr="00F70E73" w:rsidRDefault="00574E2D" w:rsidP="00196296">
      <w:pPr>
        <w:pStyle w:val="Default"/>
        <w:rPr>
          <w:rFonts w:ascii="Times New Roman" w:hAnsi="Times New Roman" w:cs="Times New Roman"/>
          <w:color w:val="808080" w:themeColor="background1" w:themeShade="80"/>
        </w:rPr>
      </w:pPr>
      <w:r w:rsidRPr="00FE554B">
        <w:rPr>
          <w:rFonts w:ascii="Times New Roman" w:hAnsi="Times New Roman" w:cs="Times New Roman"/>
        </w:rPr>
        <w:t>Der erste analytische Befund lautet damit: Relativ werden in Bayern Schüler*innen mit sonderpäda</w:t>
      </w:r>
      <w:r w:rsidR="005163A6">
        <w:rPr>
          <w:rFonts w:ascii="Times New Roman" w:hAnsi="Times New Roman" w:cs="Times New Roman"/>
        </w:rPr>
        <w:t xml:space="preserve">gogischem Förderbedarf </w:t>
      </w:r>
      <w:r w:rsidRPr="00FE554B">
        <w:rPr>
          <w:rFonts w:ascii="Times New Roman" w:hAnsi="Times New Roman" w:cs="Times New Roman"/>
        </w:rPr>
        <w:t xml:space="preserve">trotz </w:t>
      </w:r>
      <w:r w:rsidR="005163A6">
        <w:rPr>
          <w:rFonts w:ascii="Times New Roman" w:hAnsi="Times New Roman" w:cs="Times New Roman"/>
        </w:rPr>
        <w:t xml:space="preserve">und nach </w:t>
      </w:r>
      <w:r w:rsidRPr="00FE554B">
        <w:rPr>
          <w:rFonts w:ascii="Times New Roman" w:hAnsi="Times New Roman" w:cs="Times New Roman"/>
        </w:rPr>
        <w:t xml:space="preserve">der UN-BRK im gleichen Umfange aus allgemeinen Schulen ausgesondert und in Sonderschulen separiert wie vor der UN-BRK. Die sog. Inklusionsreform ist durch einen völligen Separationsstillstand gekennzeichnet. Separation as useall. </w:t>
      </w:r>
      <w:r w:rsidR="00196296" w:rsidRPr="00FE554B">
        <w:rPr>
          <w:rFonts w:ascii="Times New Roman" w:hAnsi="Times New Roman" w:cs="Times New Roman"/>
        </w:rPr>
        <w:t>Die Inklusionsreform ist an den Schüler*innen mit Behinderungen, für die sie doch eigentlich gedacht war, völlig vorbeigega</w:t>
      </w:r>
      <w:r w:rsidR="00817537">
        <w:rPr>
          <w:rFonts w:ascii="Times New Roman" w:hAnsi="Times New Roman" w:cs="Times New Roman"/>
        </w:rPr>
        <w:t xml:space="preserve">ngen. </w:t>
      </w:r>
    </w:p>
    <w:p w:rsidR="00196296" w:rsidRPr="00FE554B" w:rsidRDefault="00196296" w:rsidP="00196296">
      <w:pPr>
        <w:pStyle w:val="Default"/>
        <w:ind w:left="360"/>
        <w:rPr>
          <w:rFonts w:ascii="Times New Roman" w:hAnsi="Times New Roman" w:cs="Times New Roman"/>
        </w:rPr>
      </w:pPr>
    </w:p>
    <w:p w:rsidR="00574E2D" w:rsidRPr="00FE554B" w:rsidRDefault="00E671BF" w:rsidP="00817537">
      <w:pPr>
        <w:pStyle w:val="Default"/>
        <w:rPr>
          <w:rFonts w:ascii="Times New Roman" w:hAnsi="Times New Roman" w:cs="Times New Roman"/>
        </w:rPr>
      </w:pPr>
      <w:r>
        <w:rPr>
          <w:bCs/>
        </w:rPr>
        <w:t xml:space="preserve">Halten wir als </w:t>
      </w:r>
      <w:r w:rsidR="00AA732E">
        <w:rPr>
          <w:bCs/>
        </w:rPr>
        <w:t xml:space="preserve">evidenzbasiertes </w:t>
      </w:r>
      <w:r>
        <w:rPr>
          <w:bCs/>
        </w:rPr>
        <w:t>Fakt</w:t>
      </w:r>
      <w:r w:rsidR="00AA732E">
        <w:rPr>
          <w:bCs/>
        </w:rPr>
        <w:t>um</w:t>
      </w:r>
      <w:r>
        <w:rPr>
          <w:bCs/>
        </w:rPr>
        <w:t xml:space="preserve"> fest: </w:t>
      </w:r>
      <w:r w:rsidR="00196296" w:rsidRPr="00FE554B">
        <w:rPr>
          <w:bCs/>
        </w:rPr>
        <w:t>I</w:t>
      </w:r>
      <w:r w:rsidR="00574E2D" w:rsidRPr="00FE554B">
        <w:rPr>
          <w:rFonts w:ascii="Times New Roman" w:hAnsi="Times New Roman" w:cs="Times New Roman"/>
        </w:rPr>
        <w:t xml:space="preserve">nklusion findet in Bayern bezogen auf das Kriterium </w:t>
      </w:r>
      <w:r w:rsidR="00F70E73">
        <w:rPr>
          <w:rFonts w:ascii="Times New Roman" w:hAnsi="Times New Roman" w:cs="Times New Roman"/>
        </w:rPr>
        <w:t>„</w:t>
      </w:r>
      <w:r w:rsidR="00574E2D" w:rsidRPr="00FE554B">
        <w:rPr>
          <w:rFonts w:ascii="Times New Roman" w:hAnsi="Times New Roman" w:cs="Times New Roman"/>
        </w:rPr>
        <w:t>Minderung von Separation</w:t>
      </w:r>
      <w:r w:rsidR="00F70E73">
        <w:rPr>
          <w:rFonts w:ascii="Times New Roman" w:hAnsi="Times New Roman" w:cs="Times New Roman"/>
        </w:rPr>
        <w:t>“</w:t>
      </w:r>
      <w:r w:rsidR="00574E2D" w:rsidRPr="00FE554B">
        <w:rPr>
          <w:rFonts w:ascii="Times New Roman" w:hAnsi="Times New Roman" w:cs="Times New Roman"/>
        </w:rPr>
        <w:t xml:space="preserve"> nicht statt! Bayern verfehlt in der Inklusionsreform das Kriterium </w:t>
      </w:r>
      <w:r w:rsidR="00C55361">
        <w:rPr>
          <w:rFonts w:ascii="Times New Roman" w:hAnsi="Times New Roman" w:cs="Times New Roman"/>
        </w:rPr>
        <w:t>„</w:t>
      </w:r>
      <w:r w:rsidR="00574E2D" w:rsidRPr="00FE554B">
        <w:rPr>
          <w:rFonts w:ascii="Times New Roman" w:hAnsi="Times New Roman" w:cs="Times New Roman"/>
        </w:rPr>
        <w:t>Rückgang von Separation</w:t>
      </w:r>
      <w:r w:rsidR="00C55361">
        <w:rPr>
          <w:rFonts w:ascii="Times New Roman" w:hAnsi="Times New Roman" w:cs="Times New Roman"/>
        </w:rPr>
        <w:t>“</w:t>
      </w:r>
      <w:r w:rsidR="00574E2D" w:rsidRPr="00FE554B">
        <w:rPr>
          <w:rFonts w:ascii="Times New Roman" w:hAnsi="Times New Roman" w:cs="Times New Roman"/>
        </w:rPr>
        <w:t xml:space="preserve"> vollständig, ohne jegliches Wenn und Aber. Als Trost kann immerhin gesagt werden, dass die gleiche Fest</w:t>
      </w:r>
      <w:r w:rsidR="007C20D9">
        <w:rPr>
          <w:rFonts w:ascii="Times New Roman" w:hAnsi="Times New Roman" w:cs="Times New Roman"/>
        </w:rPr>
        <w:t xml:space="preserve">stellung in ähnlicher Form </w:t>
      </w:r>
      <w:r w:rsidR="00574E2D" w:rsidRPr="00FE554B">
        <w:rPr>
          <w:rFonts w:ascii="Times New Roman" w:hAnsi="Times New Roman" w:cs="Times New Roman"/>
        </w:rPr>
        <w:t>für viele andere Bundesländer auch gilt, mit Ausnahme von Thüringen, Schleswig-Holstein und Bremen. Aber ist das wirklich eine ehrliche Tröstung, wenn man genauso schlecht ist wie viele andere auch</w:t>
      </w:r>
      <w:r w:rsidR="0038352E">
        <w:rPr>
          <w:rFonts w:ascii="Times New Roman" w:hAnsi="Times New Roman" w:cs="Times New Roman"/>
        </w:rPr>
        <w:t xml:space="preserve"> (Klemm 2015)</w:t>
      </w:r>
      <w:r w:rsidR="00574E2D" w:rsidRPr="00FE554B">
        <w:rPr>
          <w:rFonts w:ascii="Times New Roman" w:hAnsi="Times New Roman" w:cs="Times New Roman"/>
        </w:rPr>
        <w:t>?</w:t>
      </w:r>
      <w:r w:rsidR="00196296" w:rsidRPr="00FE554B">
        <w:rPr>
          <w:rFonts w:ascii="Times New Roman" w:hAnsi="Times New Roman" w:cs="Times New Roman"/>
        </w:rPr>
        <w:t xml:space="preserve"> </w:t>
      </w:r>
    </w:p>
    <w:p w:rsidR="00C84343" w:rsidRPr="00FE554B" w:rsidRDefault="00C84343">
      <w:pPr>
        <w:rPr>
          <w:sz w:val="24"/>
          <w:szCs w:val="24"/>
        </w:rPr>
      </w:pPr>
    </w:p>
    <w:p w:rsidR="00574E2D" w:rsidRDefault="00C327B2">
      <w:pPr>
        <w:rPr>
          <w:rFonts w:ascii="Times New Roman" w:hAnsi="Times New Roman" w:cs="Times New Roman"/>
          <w:b/>
          <w:sz w:val="24"/>
          <w:szCs w:val="24"/>
        </w:rPr>
      </w:pPr>
      <w:r>
        <w:rPr>
          <w:rFonts w:ascii="Times New Roman" w:hAnsi="Times New Roman" w:cs="Times New Roman"/>
          <w:b/>
          <w:sz w:val="24"/>
          <w:szCs w:val="24"/>
        </w:rPr>
        <w:t>3. Die</w:t>
      </w:r>
      <w:r w:rsidR="00574E2D" w:rsidRPr="00FE554B">
        <w:rPr>
          <w:rFonts w:ascii="Times New Roman" w:hAnsi="Times New Roman" w:cs="Times New Roman"/>
          <w:b/>
          <w:sz w:val="24"/>
          <w:szCs w:val="24"/>
        </w:rPr>
        <w:t xml:space="preserve"> Etikettierungsschwemme</w:t>
      </w:r>
    </w:p>
    <w:p w:rsidR="00FE554B" w:rsidRPr="00FE554B" w:rsidRDefault="00FE554B">
      <w:pPr>
        <w:rPr>
          <w:rFonts w:ascii="Times New Roman" w:hAnsi="Times New Roman" w:cs="Times New Roman"/>
          <w:b/>
          <w:sz w:val="24"/>
          <w:szCs w:val="24"/>
        </w:rPr>
      </w:pPr>
    </w:p>
    <w:p w:rsidR="00574E2D" w:rsidRDefault="00025C40">
      <w:pPr>
        <w:rPr>
          <w:rFonts w:ascii="Times New Roman" w:hAnsi="Times New Roman" w:cs="Times New Roman"/>
          <w:sz w:val="24"/>
          <w:szCs w:val="24"/>
        </w:rPr>
      </w:pPr>
      <w:r>
        <w:rPr>
          <w:rFonts w:ascii="Times New Roman" w:hAnsi="Times New Roman" w:cs="Times New Roman"/>
          <w:sz w:val="24"/>
          <w:szCs w:val="24"/>
        </w:rPr>
        <w:t>Der</w:t>
      </w:r>
      <w:r w:rsidR="00B62052">
        <w:rPr>
          <w:rFonts w:ascii="Times New Roman" w:hAnsi="Times New Roman" w:cs="Times New Roman"/>
          <w:sz w:val="24"/>
          <w:szCs w:val="24"/>
        </w:rPr>
        <w:t xml:space="preserve"> völlige</w:t>
      </w:r>
      <w:r>
        <w:rPr>
          <w:rFonts w:ascii="Times New Roman" w:hAnsi="Times New Roman" w:cs="Times New Roman"/>
          <w:sz w:val="24"/>
          <w:szCs w:val="24"/>
        </w:rPr>
        <w:t xml:space="preserve"> </w:t>
      </w:r>
      <w:r w:rsidR="00345378">
        <w:rPr>
          <w:rFonts w:ascii="Times New Roman" w:hAnsi="Times New Roman" w:cs="Times New Roman"/>
          <w:sz w:val="24"/>
          <w:szCs w:val="24"/>
        </w:rPr>
        <w:t>Misserfolg</w:t>
      </w:r>
      <w:r w:rsidR="00574E2D" w:rsidRPr="00FE554B">
        <w:rPr>
          <w:rFonts w:ascii="Times New Roman" w:hAnsi="Times New Roman" w:cs="Times New Roman"/>
          <w:sz w:val="24"/>
          <w:szCs w:val="24"/>
        </w:rPr>
        <w:t xml:space="preserve"> bei dem ersten Kriterium </w:t>
      </w:r>
      <w:r w:rsidR="00F70E73">
        <w:rPr>
          <w:rFonts w:ascii="Times New Roman" w:hAnsi="Times New Roman" w:cs="Times New Roman"/>
          <w:sz w:val="24"/>
          <w:szCs w:val="24"/>
        </w:rPr>
        <w:t>„</w:t>
      </w:r>
      <w:r w:rsidR="00574E2D" w:rsidRPr="00FE554B">
        <w:rPr>
          <w:rFonts w:ascii="Times New Roman" w:hAnsi="Times New Roman" w:cs="Times New Roman"/>
          <w:sz w:val="24"/>
          <w:szCs w:val="24"/>
        </w:rPr>
        <w:t>R</w:t>
      </w:r>
      <w:r w:rsidR="00F3088D">
        <w:rPr>
          <w:rFonts w:ascii="Times New Roman" w:hAnsi="Times New Roman" w:cs="Times New Roman"/>
          <w:sz w:val="24"/>
          <w:szCs w:val="24"/>
        </w:rPr>
        <w:t>ückgang der Separation</w:t>
      </w:r>
      <w:r w:rsidR="00F70E73">
        <w:rPr>
          <w:rFonts w:ascii="Times New Roman" w:hAnsi="Times New Roman" w:cs="Times New Roman"/>
          <w:sz w:val="24"/>
          <w:szCs w:val="24"/>
        </w:rPr>
        <w:t>“</w:t>
      </w:r>
      <w:r w:rsidR="00F3088D">
        <w:rPr>
          <w:rFonts w:ascii="Times New Roman" w:hAnsi="Times New Roman" w:cs="Times New Roman"/>
          <w:sz w:val="24"/>
          <w:szCs w:val="24"/>
        </w:rPr>
        <w:t xml:space="preserve"> ist</w:t>
      </w:r>
      <w:r w:rsidR="00574E2D" w:rsidRPr="00FE554B">
        <w:rPr>
          <w:rFonts w:ascii="Times New Roman" w:hAnsi="Times New Roman" w:cs="Times New Roman"/>
          <w:sz w:val="24"/>
          <w:szCs w:val="24"/>
        </w:rPr>
        <w:t xml:space="preserve"> ziemlich </w:t>
      </w:r>
      <w:r w:rsidR="009B673C">
        <w:rPr>
          <w:rFonts w:ascii="Times New Roman" w:hAnsi="Times New Roman" w:cs="Times New Roman"/>
          <w:sz w:val="24"/>
          <w:szCs w:val="24"/>
        </w:rPr>
        <w:t>enttäuschen</w:t>
      </w:r>
      <w:r w:rsidR="00AA732E">
        <w:rPr>
          <w:rFonts w:ascii="Times New Roman" w:hAnsi="Times New Roman" w:cs="Times New Roman"/>
          <w:sz w:val="24"/>
          <w:szCs w:val="24"/>
        </w:rPr>
        <w:t>d</w:t>
      </w:r>
      <w:r w:rsidR="009B673C">
        <w:rPr>
          <w:rFonts w:ascii="Times New Roman" w:hAnsi="Times New Roman" w:cs="Times New Roman"/>
          <w:sz w:val="24"/>
          <w:szCs w:val="24"/>
        </w:rPr>
        <w:t xml:space="preserve"> und </w:t>
      </w:r>
      <w:r w:rsidR="00574E2D" w:rsidRPr="00FE554B">
        <w:rPr>
          <w:rFonts w:ascii="Times New Roman" w:hAnsi="Times New Roman" w:cs="Times New Roman"/>
          <w:sz w:val="24"/>
          <w:szCs w:val="24"/>
        </w:rPr>
        <w:t xml:space="preserve">ernüchternd. Dürfen wir uns nun wenigstens bei dem zweiten Kriterium </w:t>
      </w:r>
      <w:r w:rsidR="00F70E73">
        <w:rPr>
          <w:rFonts w:ascii="Times New Roman" w:hAnsi="Times New Roman" w:cs="Times New Roman"/>
          <w:sz w:val="24"/>
          <w:szCs w:val="24"/>
        </w:rPr>
        <w:t>„</w:t>
      </w:r>
      <w:r w:rsidR="00574E2D" w:rsidRPr="00FE554B">
        <w:rPr>
          <w:rFonts w:ascii="Times New Roman" w:hAnsi="Times New Roman" w:cs="Times New Roman"/>
          <w:sz w:val="24"/>
          <w:szCs w:val="24"/>
        </w:rPr>
        <w:t>Anstieg der Inklusion</w:t>
      </w:r>
      <w:r w:rsidR="00F70E73">
        <w:rPr>
          <w:rFonts w:ascii="Times New Roman" w:hAnsi="Times New Roman" w:cs="Times New Roman"/>
          <w:sz w:val="24"/>
          <w:szCs w:val="24"/>
        </w:rPr>
        <w:t>“</w:t>
      </w:r>
      <w:r w:rsidR="00574E2D" w:rsidRPr="00FE554B">
        <w:rPr>
          <w:rFonts w:ascii="Times New Roman" w:hAnsi="Times New Roman" w:cs="Times New Roman"/>
          <w:sz w:val="24"/>
          <w:szCs w:val="24"/>
        </w:rPr>
        <w:t xml:space="preserve"> ungetrübt und von ganzem Herzen freuen?</w:t>
      </w:r>
    </w:p>
    <w:p w:rsidR="000812D9" w:rsidRDefault="000812D9">
      <w:pPr>
        <w:rPr>
          <w:rFonts w:ascii="Times New Roman" w:hAnsi="Times New Roman" w:cs="Times New Roman"/>
          <w:sz w:val="24"/>
          <w:szCs w:val="24"/>
        </w:rPr>
      </w:pPr>
    </w:p>
    <w:p w:rsidR="00B62052" w:rsidRDefault="00B62052">
      <w:pPr>
        <w:rPr>
          <w:rFonts w:ascii="Times New Roman" w:hAnsi="Times New Roman" w:cs="Times New Roman"/>
          <w:sz w:val="24"/>
          <w:szCs w:val="24"/>
        </w:rPr>
      </w:pPr>
      <w:r>
        <w:rPr>
          <w:rFonts w:ascii="Times New Roman" w:hAnsi="Times New Roman" w:cs="Times New Roman"/>
          <w:sz w:val="24"/>
          <w:szCs w:val="24"/>
        </w:rPr>
        <w:t>Wir müssen uns in Abb. 1. den Graf der „Inklusionsschüler“ und in Tab. 1 die Zahlenreihen (3) und (4)</w:t>
      </w:r>
      <w:r w:rsidR="00E95DDC">
        <w:rPr>
          <w:rFonts w:ascii="Times New Roman" w:hAnsi="Times New Roman" w:cs="Times New Roman"/>
          <w:sz w:val="24"/>
          <w:szCs w:val="24"/>
        </w:rPr>
        <w:t xml:space="preserve"> genauer ansehen</w:t>
      </w:r>
      <w:r>
        <w:rPr>
          <w:rFonts w:ascii="Times New Roman" w:hAnsi="Times New Roman" w:cs="Times New Roman"/>
          <w:sz w:val="24"/>
          <w:szCs w:val="24"/>
        </w:rPr>
        <w:t>. Die Zahl der inkludierten Förderschüler ist in der Tat in nahezu unfassbarer Weise angestiegen. Gegenübe</w:t>
      </w:r>
      <w:r w:rsidR="00697D2B">
        <w:rPr>
          <w:rFonts w:ascii="Times New Roman" w:hAnsi="Times New Roman" w:cs="Times New Roman"/>
          <w:sz w:val="24"/>
          <w:szCs w:val="24"/>
        </w:rPr>
        <w:t>r dem Referenzjahr werden</w:t>
      </w:r>
      <w:r>
        <w:rPr>
          <w:rFonts w:ascii="Times New Roman" w:hAnsi="Times New Roman" w:cs="Times New Roman"/>
          <w:sz w:val="24"/>
          <w:szCs w:val="24"/>
        </w:rPr>
        <w:t xml:space="preserve"> nun im</w:t>
      </w:r>
      <w:r w:rsidR="00697D2B">
        <w:rPr>
          <w:rFonts w:ascii="Times New Roman" w:hAnsi="Times New Roman" w:cs="Times New Roman"/>
          <w:sz w:val="24"/>
          <w:szCs w:val="24"/>
        </w:rPr>
        <w:t xml:space="preserve"> letzten Erhebungsjahr 2016/17 über 9.000 zusätzliche „Inklusionsschüler“ (= Förderschüler mit sonderpädagogischem Förderbedarf in allgemeinen Schulen) gezählt. Die Population der „Inklusionsschüler“ wurde also in acht Schuljahren um satte 80 Prozent gesteigert. Da möchte </w:t>
      </w:r>
      <w:r w:rsidR="00697D2B">
        <w:rPr>
          <w:rFonts w:ascii="Times New Roman" w:hAnsi="Times New Roman" w:cs="Times New Roman"/>
          <w:sz w:val="24"/>
          <w:szCs w:val="24"/>
        </w:rPr>
        <w:lastRenderedPageBreak/>
        <w:t>man schon respektvoll den Hut ziehen, wäre da nicht de</w:t>
      </w:r>
      <w:r w:rsidR="00DD408F">
        <w:rPr>
          <w:rFonts w:ascii="Times New Roman" w:hAnsi="Times New Roman" w:cs="Times New Roman"/>
          <w:sz w:val="24"/>
          <w:szCs w:val="24"/>
        </w:rPr>
        <w:t>r irri</w:t>
      </w:r>
      <w:r w:rsidR="00697D2B">
        <w:rPr>
          <w:rFonts w:ascii="Times New Roman" w:hAnsi="Times New Roman" w:cs="Times New Roman"/>
          <w:sz w:val="24"/>
          <w:szCs w:val="24"/>
        </w:rPr>
        <w:t xml:space="preserve">tierende Befund, dass die Zahl der Sonderschüler in den Förderschulen </w:t>
      </w:r>
      <w:r w:rsidR="000812D9">
        <w:rPr>
          <w:rFonts w:ascii="Times New Roman" w:hAnsi="Times New Roman" w:cs="Times New Roman"/>
          <w:sz w:val="24"/>
          <w:szCs w:val="24"/>
        </w:rPr>
        <w:t xml:space="preserve">ja, wie unter 2.1 berichtet, </w:t>
      </w:r>
      <w:r w:rsidR="00697D2B">
        <w:rPr>
          <w:rFonts w:ascii="Times New Roman" w:hAnsi="Times New Roman" w:cs="Times New Roman"/>
          <w:sz w:val="24"/>
          <w:szCs w:val="24"/>
        </w:rPr>
        <w:t xml:space="preserve">relativ stabil geblieben ist und absolut nur um etwa 5.700 Schüler abgenommen hat. Hier hat es offensichtlich nicht einen </w:t>
      </w:r>
      <w:r w:rsidR="00F3088D">
        <w:rPr>
          <w:rFonts w:ascii="Times New Roman" w:hAnsi="Times New Roman" w:cs="Times New Roman"/>
          <w:sz w:val="24"/>
          <w:szCs w:val="24"/>
        </w:rPr>
        <w:t xml:space="preserve">schlichten </w:t>
      </w:r>
      <w:r w:rsidR="00697D2B">
        <w:rPr>
          <w:rFonts w:ascii="Times New Roman" w:hAnsi="Times New Roman" w:cs="Times New Roman"/>
          <w:sz w:val="24"/>
          <w:szCs w:val="24"/>
        </w:rPr>
        <w:t xml:space="preserve">Austausch zwischen kommunizierenden Röhren gegeben. </w:t>
      </w:r>
      <w:r w:rsidR="00ED5F7F">
        <w:rPr>
          <w:rFonts w:ascii="Times New Roman" w:hAnsi="Times New Roman" w:cs="Times New Roman"/>
          <w:sz w:val="24"/>
          <w:szCs w:val="24"/>
        </w:rPr>
        <w:t xml:space="preserve">Das erstaunliche Plus an „Inklusionsschülern“ kann nicht durch das Minus an </w:t>
      </w:r>
      <w:r w:rsidR="005163A6">
        <w:rPr>
          <w:rFonts w:ascii="Times New Roman" w:hAnsi="Times New Roman" w:cs="Times New Roman"/>
          <w:sz w:val="24"/>
          <w:szCs w:val="24"/>
        </w:rPr>
        <w:t>„Sonderschülern“ erklärt werden!</w:t>
      </w:r>
    </w:p>
    <w:p w:rsidR="00ED5F7F" w:rsidRDefault="00ED5F7F">
      <w:pPr>
        <w:rPr>
          <w:rFonts w:ascii="Times New Roman" w:hAnsi="Times New Roman" w:cs="Times New Roman"/>
          <w:sz w:val="24"/>
          <w:szCs w:val="24"/>
        </w:rPr>
      </w:pPr>
    </w:p>
    <w:p w:rsidR="00C55361" w:rsidRDefault="00ED5F7F">
      <w:pPr>
        <w:rPr>
          <w:rFonts w:ascii="Times New Roman" w:hAnsi="Times New Roman" w:cs="Times New Roman"/>
          <w:sz w:val="24"/>
          <w:szCs w:val="24"/>
        </w:rPr>
      </w:pPr>
      <w:r>
        <w:rPr>
          <w:rFonts w:ascii="Times New Roman" w:hAnsi="Times New Roman" w:cs="Times New Roman"/>
          <w:sz w:val="24"/>
          <w:szCs w:val="24"/>
        </w:rPr>
        <w:t xml:space="preserve">Woher kommen denn </w:t>
      </w:r>
      <w:r w:rsidR="000812D9">
        <w:rPr>
          <w:rFonts w:ascii="Times New Roman" w:hAnsi="Times New Roman" w:cs="Times New Roman"/>
          <w:sz w:val="24"/>
          <w:szCs w:val="24"/>
        </w:rPr>
        <w:t xml:space="preserve">all </w:t>
      </w:r>
      <w:r>
        <w:rPr>
          <w:rFonts w:ascii="Times New Roman" w:hAnsi="Times New Roman" w:cs="Times New Roman"/>
          <w:sz w:val="24"/>
          <w:szCs w:val="24"/>
        </w:rPr>
        <w:t>die vielen neuen „Inklusionsschüler“? Weil die neuen „Inklusionsschüler“ nicht aus den Sonderschulen kommen können, gibt es für die rasante Vermehrung der „Inklusionsschüler“ nur eine mögliche Erklärung. Die neuen „Inklusionsschüler“ kom</w:t>
      </w:r>
      <w:r w:rsidR="00F3088D">
        <w:rPr>
          <w:rFonts w:ascii="Times New Roman" w:hAnsi="Times New Roman" w:cs="Times New Roman"/>
          <w:sz w:val="24"/>
          <w:szCs w:val="24"/>
        </w:rPr>
        <w:t>men aus den allgemeinen Schulen!</w:t>
      </w:r>
      <w:r>
        <w:rPr>
          <w:rFonts w:ascii="Times New Roman" w:hAnsi="Times New Roman" w:cs="Times New Roman"/>
          <w:sz w:val="24"/>
          <w:szCs w:val="24"/>
        </w:rPr>
        <w:t xml:space="preserve"> Die neuen „Ink</w:t>
      </w:r>
      <w:r w:rsidR="00C55361">
        <w:rPr>
          <w:rFonts w:ascii="Times New Roman" w:hAnsi="Times New Roman" w:cs="Times New Roman"/>
          <w:sz w:val="24"/>
          <w:szCs w:val="24"/>
        </w:rPr>
        <w:t>lusionsschüler“ sind keine vormaligen</w:t>
      </w:r>
      <w:r>
        <w:rPr>
          <w:rFonts w:ascii="Times New Roman" w:hAnsi="Times New Roman" w:cs="Times New Roman"/>
          <w:sz w:val="24"/>
          <w:szCs w:val="24"/>
        </w:rPr>
        <w:t xml:space="preserve"> Sonders</w:t>
      </w:r>
      <w:r w:rsidR="00C55361">
        <w:rPr>
          <w:rFonts w:ascii="Times New Roman" w:hAnsi="Times New Roman" w:cs="Times New Roman"/>
          <w:sz w:val="24"/>
          <w:szCs w:val="24"/>
        </w:rPr>
        <w:t>chüler, sondern in Wahrheit bisherige Regelschüler!</w:t>
      </w:r>
    </w:p>
    <w:p w:rsidR="00C55361" w:rsidRDefault="00C55361">
      <w:pPr>
        <w:rPr>
          <w:rFonts w:ascii="Times New Roman" w:hAnsi="Times New Roman" w:cs="Times New Roman"/>
          <w:sz w:val="24"/>
          <w:szCs w:val="24"/>
        </w:rPr>
      </w:pPr>
    </w:p>
    <w:p w:rsidR="00ED5F7F" w:rsidRPr="00FE554B" w:rsidRDefault="00ED5F7F">
      <w:pPr>
        <w:rPr>
          <w:rFonts w:ascii="Times New Roman" w:hAnsi="Times New Roman" w:cs="Times New Roman"/>
          <w:sz w:val="24"/>
          <w:szCs w:val="24"/>
        </w:rPr>
      </w:pPr>
      <w:r>
        <w:rPr>
          <w:rFonts w:ascii="Times New Roman" w:hAnsi="Times New Roman" w:cs="Times New Roman"/>
          <w:sz w:val="24"/>
          <w:szCs w:val="24"/>
        </w:rPr>
        <w:t xml:space="preserve"> In allen Klassen und Schulen gibt es bekanntlich „schwache“ Schüler. In den PISA-Studien werden diese schwachen Schüler „Risiko-Schüler“ genannt, in der pädagogischen Alltagssprache heißen sie auch „Problem-Schüler“ und die Empfehlungen der Bildungskommission aus dem Jah</w:t>
      </w:r>
      <w:r w:rsidR="00F3088D">
        <w:rPr>
          <w:rFonts w:ascii="Times New Roman" w:hAnsi="Times New Roman" w:cs="Times New Roman"/>
          <w:sz w:val="24"/>
          <w:szCs w:val="24"/>
        </w:rPr>
        <w:t>re 19</w:t>
      </w:r>
      <w:r w:rsidR="005163A6" w:rsidRPr="005163A6">
        <w:rPr>
          <w:rFonts w:ascii="Times New Roman" w:hAnsi="Times New Roman" w:cs="Times New Roman"/>
          <w:sz w:val="24"/>
          <w:szCs w:val="24"/>
        </w:rPr>
        <w:t>73</w:t>
      </w:r>
      <w:r w:rsidR="00F3088D" w:rsidRPr="00F70E73">
        <w:rPr>
          <w:rFonts w:ascii="Times New Roman" w:hAnsi="Times New Roman" w:cs="Times New Roman"/>
          <w:color w:val="FF0000"/>
          <w:sz w:val="24"/>
          <w:szCs w:val="24"/>
        </w:rPr>
        <w:t xml:space="preserve"> </w:t>
      </w:r>
      <w:r w:rsidR="007554A0">
        <w:rPr>
          <w:rFonts w:ascii="Times New Roman" w:hAnsi="Times New Roman" w:cs="Times New Roman"/>
          <w:sz w:val="24"/>
          <w:szCs w:val="24"/>
        </w:rPr>
        <w:t>(Deutscher Bildungsrat 197</w:t>
      </w:r>
      <w:r w:rsidR="007554A0" w:rsidRPr="007554A0">
        <w:rPr>
          <w:rFonts w:ascii="Times New Roman" w:hAnsi="Times New Roman" w:cs="Times New Roman"/>
          <w:sz w:val="24"/>
          <w:szCs w:val="24"/>
        </w:rPr>
        <w:t>3</w:t>
      </w:r>
      <w:r w:rsidR="005163A6" w:rsidRPr="007554A0">
        <w:rPr>
          <w:rFonts w:ascii="Times New Roman" w:hAnsi="Times New Roman" w:cs="Times New Roman"/>
          <w:sz w:val="24"/>
          <w:szCs w:val="24"/>
        </w:rPr>
        <w:t xml:space="preserve">) </w:t>
      </w:r>
      <w:r w:rsidR="00F3088D">
        <w:rPr>
          <w:rFonts w:ascii="Times New Roman" w:hAnsi="Times New Roman" w:cs="Times New Roman"/>
          <w:sz w:val="24"/>
          <w:szCs w:val="24"/>
        </w:rPr>
        <w:t>nannten diese schwachen Schüler</w:t>
      </w:r>
      <w:r>
        <w:rPr>
          <w:rFonts w:ascii="Times New Roman" w:hAnsi="Times New Roman" w:cs="Times New Roman"/>
          <w:sz w:val="24"/>
          <w:szCs w:val="24"/>
        </w:rPr>
        <w:t xml:space="preserve"> „vo</w:t>
      </w:r>
      <w:r w:rsidR="00F3088D">
        <w:rPr>
          <w:rFonts w:ascii="Times New Roman" w:hAnsi="Times New Roman" w:cs="Times New Roman"/>
          <w:sz w:val="24"/>
          <w:szCs w:val="24"/>
        </w:rPr>
        <w:t>n Behinderung bedroht</w:t>
      </w:r>
      <w:r>
        <w:rPr>
          <w:rFonts w:ascii="Times New Roman" w:hAnsi="Times New Roman" w:cs="Times New Roman"/>
          <w:sz w:val="24"/>
          <w:szCs w:val="24"/>
        </w:rPr>
        <w:t>“. Genau diese Risiko-Schüler werden nun im Zuge der Inklusionsreform von der sonderpädagogischen Diagnostik als „</w:t>
      </w:r>
      <w:r w:rsidR="00550F1C">
        <w:rPr>
          <w:rFonts w:ascii="Times New Roman" w:hAnsi="Times New Roman" w:cs="Times New Roman"/>
          <w:sz w:val="24"/>
          <w:szCs w:val="24"/>
        </w:rPr>
        <w:t>Schüler mit sonderpädagogischem Förderbedarf“ etikettiert. Die diagnostizierten Schüler*innen erhalten nun offiziell einen sonderpädagogischen Förderstatus. Sie werden aber nicht ausgesondert und an die Förderschulen adressiert, sondern sie verbleiben wie bisher weiter in den Regelschulen. Weil sie aber einen sonderpädagogischen Förderstatus haben, gelten sie nun als „Inklusionsschüler“, als inkludierte Förderschüler. Weil die Umetikettierung der ehemaligen Risiko-Schüler in „Inklusionsschüler“ relativ ungebremst, unkontrolliert und in großem Stil vonstattengeht, habe ich dieses Phänomen der Inklusionsreform „Etikettierungsschwemme“ genannt.</w:t>
      </w:r>
    </w:p>
    <w:p w:rsidR="00574E2D" w:rsidRPr="00FE554B" w:rsidRDefault="00574E2D">
      <w:pPr>
        <w:rPr>
          <w:rFonts w:ascii="Times New Roman" w:hAnsi="Times New Roman" w:cs="Times New Roman"/>
          <w:sz w:val="24"/>
          <w:szCs w:val="24"/>
        </w:rPr>
      </w:pPr>
    </w:p>
    <w:p w:rsidR="008E3A3C" w:rsidRDefault="00550F1C">
      <w:pPr>
        <w:rPr>
          <w:rFonts w:ascii="Times New Roman" w:hAnsi="Times New Roman" w:cs="Times New Roman"/>
          <w:sz w:val="24"/>
          <w:szCs w:val="24"/>
        </w:rPr>
      </w:pPr>
      <w:r>
        <w:rPr>
          <w:rFonts w:ascii="Times New Roman" w:hAnsi="Times New Roman" w:cs="Times New Roman"/>
          <w:sz w:val="24"/>
          <w:szCs w:val="24"/>
        </w:rPr>
        <w:t xml:space="preserve">Das Fazit zu dem zweiten Kriterium „Zunahme von Inklusion“ lautet mithin: </w:t>
      </w:r>
      <w:r w:rsidR="008E3A3C" w:rsidRPr="00FE554B">
        <w:rPr>
          <w:rFonts w:ascii="Times New Roman" w:hAnsi="Times New Roman" w:cs="Times New Roman"/>
          <w:sz w:val="24"/>
          <w:szCs w:val="24"/>
        </w:rPr>
        <w:t>Die Inklusionszuwächse können nicht durch Separationsminderungen erklärt werden.</w:t>
      </w:r>
      <w:r>
        <w:rPr>
          <w:rFonts w:ascii="Times New Roman" w:hAnsi="Times New Roman" w:cs="Times New Roman"/>
          <w:sz w:val="24"/>
          <w:szCs w:val="24"/>
        </w:rPr>
        <w:t xml:space="preserve"> Die neue Inklusion ist nicht eine w</w:t>
      </w:r>
      <w:r w:rsidR="000812D9">
        <w:rPr>
          <w:rFonts w:ascii="Times New Roman" w:hAnsi="Times New Roman" w:cs="Times New Roman"/>
          <w:sz w:val="24"/>
          <w:szCs w:val="24"/>
        </w:rPr>
        <w:t>irkliche Mehrung von Inklusionsfällen</w:t>
      </w:r>
      <w:r w:rsidR="00523623">
        <w:rPr>
          <w:rFonts w:ascii="Times New Roman" w:hAnsi="Times New Roman" w:cs="Times New Roman"/>
          <w:sz w:val="24"/>
          <w:szCs w:val="24"/>
        </w:rPr>
        <w:t xml:space="preserve">, sondern sie resultiert aus </w:t>
      </w:r>
      <w:r w:rsidR="00345378">
        <w:rPr>
          <w:rFonts w:ascii="Times New Roman" w:hAnsi="Times New Roman" w:cs="Times New Roman"/>
          <w:sz w:val="24"/>
          <w:szCs w:val="24"/>
        </w:rPr>
        <w:t>der Umbenennung</w:t>
      </w:r>
      <w:r>
        <w:rPr>
          <w:rFonts w:ascii="Times New Roman" w:hAnsi="Times New Roman" w:cs="Times New Roman"/>
          <w:sz w:val="24"/>
          <w:szCs w:val="24"/>
        </w:rPr>
        <w:t xml:space="preserve"> von schwachen Risiko-Schüler</w:t>
      </w:r>
      <w:r w:rsidR="00E95DDC">
        <w:rPr>
          <w:rFonts w:ascii="Times New Roman" w:hAnsi="Times New Roman" w:cs="Times New Roman"/>
          <w:sz w:val="24"/>
          <w:szCs w:val="24"/>
        </w:rPr>
        <w:t>n</w:t>
      </w:r>
      <w:r>
        <w:rPr>
          <w:rFonts w:ascii="Times New Roman" w:hAnsi="Times New Roman" w:cs="Times New Roman"/>
          <w:sz w:val="24"/>
          <w:szCs w:val="24"/>
        </w:rPr>
        <w:t xml:space="preserve"> in</w:t>
      </w:r>
      <w:r w:rsidR="00143B3A">
        <w:rPr>
          <w:rFonts w:ascii="Times New Roman" w:hAnsi="Times New Roman" w:cs="Times New Roman"/>
          <w:sz w:val="24"/>
          <w:szCs w:val="24"/>
        </w:rPr>
        <w:t xml:space="preserve"> „Inklusionsschüler“. Es findet überhaupt keine nennenswerte Verschiebung von einstigen Sonderschülern in allgemeine Schulen statt, sondern eine bekannte Population von schwachen Schüler</w:t>
      </w:r>
      <w:r w:rsidR="000812D9">
        <w:rPr>
          <w:rFonts w:ascii="Times New Roman" w:hAnsi="Times New Roman" w:cs="Times New Roman"/>
          <w:sz w:val="24"/>
          <w:szCs w:val="24"/>
        </w:rPr>
        <w:t>n wird lediglich etikettiert und</w:t>
      </w:r>
      <w:r w:rsidR="00143B3A">
        <w:rPr>
          <w:rFonts w:ascii="Times New Roman" w:hAnsi="Times New Roman" w:cs="Times New Roman"/>
          <w:sz w:val="24"/>
          <w:szCs w:val="24"/>
        </w:rPr>
        <w:t xml:space="preserve"> gleichsam umgetauft. Die Pointe der Etikettierungsschwemme besteht darin, dass </w:t>
      </w:r>
      <w:r w:rsidR="00E95DDC">
        <w:rPr>
          <w:rFonts w:ascii="Times New Roman" w:hAnsi="Times New Roman" w:cs="Times New Roman"/>
          <w:sz w:val="24"/>
          <w:szCs w:val="24"/>
        </w:rPr>
        <w:t xml:space="preserve">angeblich </w:t>
      </w:r>
      <w:r w:rsidR="008E3A3C" w:rsidRPr="00FE554B">
        <w:rPr>
          <w:rFonts w:ascii="Times New Roman" w:hAnsi="Times New Roman" w:cs="Times New Roman"/>
          <w:sz w:val="24"/>
          <w:szCs w:val="24"/>
        </w:rPr>
        <w:t xml:space="preserve">Schüler </w:t>
      </w:r>
      <w:r w:rsidR="000812D9">
        <w:rPr>
          <w:rFonts w:ascii="Times New Roman" w:hAnsi="Times New Roman" w:cs="Times New Roman"/>
          <w:sz w:val="24"/>
          <w:szCs w:val="24"/>
        </w:rPr>
        <w:t>„</w:t>
      </w:r>
      <w:r w:rsidR="008E3A3C" w:rsidRPr="00FE554B">
        <w:rPr>
          <w:rFonts w:ascii="Times New Roman" w:hAnsi="Times New Roman" w:cs="Times New Roman"/>
          <w:sz w:val="24"/>
          <w:szCs w:val="24"/>
        </w:rPr>
        <w:t>inkludiert</w:t>
      </w:r>
      <w:r w:rsidR="000812D9">
        <w:rPr>
          <w:rFonts w:ascii="Times New Roman" w:hAnsi="Times New Roman" w:cs="Times New Roman"/>
          <w:sz w:val="24"/>
          <w:szCs w:val="24"/>
        </w:rPr>
        <w:t>“</w:t>
      </w:r>
      <w:r w:rsidR="00143B3A">
        <w:rPr>
          <w:rFonts w:ascii="Times New Roman" w:hAnsi="Times New Roman" w:cs="Times New Roman"/>
          <w:sz w:val="24"/>
          <w:szCs w:val="24"/>
        </w:rPr>
        <w:t xml:space="preserve"> werden, die </w:t>
      </w:r>
      <w:r w:rsidR="00E95DDC">
        <w:rPr>
          <w:rFonts w:ascii="Times New Roman" w:hAnsi="Times New Roman" w:cs="Times New Roman"/>
          <w:sz w:val="24"/>
          <w:szCs w:val="24"/>
        </w:rPr>
        <w:t xml:space="preserve">in Wirklichkeit </w:t>
      </w:r>
      <w:r w:rsidR="00143B3A">
        <w:rPr>
          <w:rFonts w:ascii="Times New Roman" w:hAnsi="Times New Roman" w:cs="Times New Roman"/>
          <w:sz w:val="24"/>
          <w:szCs w:val="24"/>
        </w:rPr>
        <w:t xml:space="preserve">auch </w:t>
      </w:r>
      <w:r w:rsidR="008E3A3C" w:rsidRPr="00FE554B">
        <w:rPr>
          <w:rFonts w:ascii="Times New Roman" w:hAnsi="Times New Roman" w:cs="Times New Roman"/>
          <w:sz w:val="24"/>
          <w:szCs w:val="24"/>
        </w:rPr>
        <w:t xml:space="preserve">schon </w:t>
      </w:r>
      <w:r w:rsidR="00E95DDC">
        <w:rPr>
          <w:rFonts w:ascii="Times New Roman" w:hAnsi="Times New Roman" w:cs="Times New Roman"/>
          <w:sz w:val="24"/>
          <w:szCs w:val="24"/>
        </w:rPr>
        <w:t xml:space="preserve">vorher </w:t>
      </w:r>
      <w:r w:rsidR="000812D9">
        <w:rPr>
          <w:rFonts w:ascii="Times New Roman" w:hAnsi="Times New Roman" w:cs="Times New Roman"/>
          <w:sz w:val="24"/>
          <w:szCs w:val="24"/>
        </w:rPr>
        <w:t>„</w:t>
      </w:r>
      <w:r w:rsidR="008E3A3C" w:rsidRPr="00FE554B">
        <w:rPr>
          <w:rFonts w:ascii="Times New Roman" w:hAnsi="Times New Roman" w:cs="Times New Roman"/>
          <w:sz w:val="24"/>
          <w:szCs w:val="24"/>
        </w:rPr>
        <w:t>inkludiert</w:t>
      </w:r>
      <w:r w:rsidR="000812D9">
        <w:rPr>
          <w:rFonts w:ascii="Times New Roman" w:hAnsi="Times New Roman" w:cs="Times New Roman"/>
          <w:sz w:val="24"/>
          <w:szCs w:val="24"/>
        </w:rPr>
        <w:t>“</w:t>
      </w:r>
      <w:r w:rsidR="008E3A3C" w:rsidRPr="00FE554B">
        <w:rPr>
          <w:rFonts w:ascii="Times New Roman" w:hAnsi="Times New Roman" w:cs="Times New Roman"/>
          <w:sz w:val="24"/>
          <w:szCs w:val="24"/>
        </w:rPr>
        <w:t xml:space="preserve"> waren.</w:t>
      </w:r>
      <w:r w:rsidR="00143B3A">
        <w:rPr>
          <w:rFonts w:ascii="Times New Roman" w:hAnsi="Times New Roman" w:cs="Times New Roman"/>
          <w:sz w:val="24"/>
          <w:szCs w:val="24"/>
        </w:rPr>
        <w:t xml:space="preserve"> Die progrediente Zunahme von Inklusionsfällen ist damit kein Beleg für Erfolge der Inklusionsreform, sondern über weite Strecken nichts weiter als </w:t>
      </w:r>
      <w:r w:rsidR="00345378">
        <w:rPr>
          <w:rFonts w:ascii="Times New Roman" w:hAnsi="Times New Roman" w:cs="Times New Roman"/>
          <w:sz w:val="24"/>
          <w:szCs w:val="24"/>
        </w:rPr>
        <w:t>eine inszenierte Inklusionssuggestion</w:t>
      </w:r>
      <w:r w:rsidR="00143B3A">
        <w:rPr>
          <w:rFonts w:ascii="Times New Roman" w:hAnsi="Times New Roman" w:cs="Times New Roman"/>
          <w:sz w:val="24"/>
          <w:szCs w:val="24"/>
        </w:rPr>
        <w:t>. Es hat sich im Grunde genommen nichts geändert. Die Schülerschaf</w:t>
      </w:r>
      <w:r w:rsidR="00DD408F">
        <w:rPr>
          <w:rFonts w:ascii="Times New Roman" w:hAnsi="Times New Roman" w:cs="Times New Roman"/>
          <w:sz w:val="24"/>
          <w:szCs w:val="24"/>
        </w:rPr>
        <w:t>t der neuen Regelschule ist im W</w:t>
      </w:r>
      <w:r w:rsidR="00143B3A">
        <w:rPr>
          <w:rFonts w:ascii="Times New Roman" w:hAnsi="Times New Roman" w:cs="Times New Roman"/>
          <w:sz w:val="24"/>
          <w:szCs w:val="24"/>
        </w:rPr>
        <w:t>esentlichen die gleiche Schülerschaft der alten Regelschule</w:t>
      </w:r>
      <w:r w:rsidR="00DD408F">
        <w:rPr>
          <w:rFonts w:ascii="Times New Roman" w:hAnsi="Times New Roman" w:cs="Times New Roman"/>
          <w:sz w:val="24"/>
          <w:szCs w:val="24"/>
        </w:rPr>
        <w:t xml:space="preserve"> aus der Vorzeit der Inklusion. Progression der Inklusion? O nein, es ist aufs Ganze gesehen alles beim </w:t>
      </w:r>
      <w:r w:rsidR="00345378">
        <w:rPr>
          <w:rFonts w:ascii="Times New Roman" w:hAnsi="Times New Roman" w:cs="Times New Roman"/>
          <w:sz w:val="24"/>
          <w:szCs w:val="24"/>
        </w:rPr>
        <w:t>Alten</w:t>
      </w:r>
      <w:r w:rsidR="00DD408F">
        <w:rPr>
          <w:rFonts w:ascii="Times New Roman" w:hAnsi="Times New Roman" w:cs="Times New Roman"/>
          <w:sz w:val="24"/>
          <w:szCs w:val="24"/>
        </w:rPr>
        <w:t xml:space="preserve"> geblieben.</w:t>
      </w:r>
    </w:p>
    <w:p w:rsidR="00C327B2" w:rsidRDefault="00C327B2">
      <w:pPr>
        <w:rPr>
          <w:rFonts w:ascii="Times New Roman" w:hAnsi="Times New Roman" w:cs="Times New Roman"/>
          <w:sz w:val="24"/>
          <w:szCs w:val="24"/>
        </w:rPr>
      </w:pPr>
    </w:p>
    <w:p w:rsidR="00C327B2" w:rsidRPr="00C327B2" w:rsidRDefault="00C327B2">
      <w:pPr>
        <w:rPr>
          <w:rFonts w:ascii="Times New Roman" w:hAnsi="Times New Roman" w:cs="Times New Roman"/>
          <w:b/>
          <w:sz w:val="24"/>
          <w:szCs w:val="24"/>
        </w:rPr>
      </w:pPr>
      <w:r w:rsidRPr="00C327B2">
        <w:rPr>
          <w:rFonts w:ascii="Times New Roman" w:hAnsi="Times New Roman" w:cs="Times New Roman"/>
          <w:b/>
          <w:sz w:val="24"/>
          <w:szCs w:val="24"/>
        </w:rPr>
        <w:t>4. Der Eigensinn der Förderschwerpunkte</w:t>
      </w:r>
    </w:p>
    <w:p w:rsidR="00AB37F4" w:rsidRDefault="00AB37F4" w:rsidP="00A05034">
      <w:pPr>
        <w:pStyle w:val="Listenabsatz"/>
        <w:ind w:left="1065"/>
        <w:rPr>
          <w:rFonts w:ascii="Times New Roman" w:hAnsi="Times New Roman" w:cs="Times New Roman"/>
          <w:b/>
          <w:sz w:val="24"/>
          <w:szCs w:val="24"/>
        </w:rPr>
      </w:pPr>
    </w:p>
    <w:p w:rsidR="00A05034" w:rsidRDefault="00A05034" w:rsidP="00A05034">
      <w:pPr>
        <w:pStyle w:val="Listenabsatz"/>
        <w:ind w:left="0"/>
        <w:rPr>
          <w:rFonts w:ascii="Times New Roman" w:hAnsi="Times New Roman" w:cs="Times New Roman"/>
          <w:sz w:val="24"/>
          <w:szCs w:val="24"/>
        </w:rPr>
      </w:pPr>
      <w:r w:rsidRPr="00A05034">
        <w:rPr>
          <w:rFonts w:ascii="Times New Roman" w:hAnsi="Times New Roman" w:cs="Times New Roman"/>
          <w:sz w:val="24"/>
          <w:szCs w:val="24"/>
        </w:rPr>
        <w:t xml:space="preserve">Die </w:t>
      </w:r>
      <w:r>
        <w:rPr>
          <w:rFonts w:ascii="Times New Roman" w:hAnsi="Times New Roman" w:cs="Times New Roman"/>
          <w:sz w:val="24"/>
          <w:szCs w:val="24"/>
        </w:rPr>
        <w:t xml:space="preserve">verschiedenen sonderpädagogischen Förderschwerpunkte wurden in der bisherigen Analyse als ein homogenes Kollektiv traktiert. </w:t>
      </w:r>
      <w:r w:rsidR="00457B1A">
        <w:rPr>
          <w:rFonts w:ascii="Times New Roman" w:hAnsi="Times New Roman" w:cs="Times New Roman"/>
          <w:sz w:val="24"/>
          <w:szCs w:val="24"/>
        </w:rPr>
        <w:t>Eine genauere Inspektion der statistischen Daten zeigt indes, dass die Förderschwerpunkte nicht alle über einen Kamm geschoren werden können und zwischen ihnen erhebliche Differenzen in der Entwickl</w:t>
      </w:r>
      <w:r w:rsidR="00A54915">
        <w:rPr>
          <w:rFonts w:ascii="Times New Roman" w:hAnsi="Times New Roman" w:cs="Times New Roman"/>
          <w:sz w:val="24"/>
          <w:szCs w:val="24"/>
        </w:rPr>
        <w:t>ung der Inklusionstendenzen</w:t>
      </w:r>
      <w:r w:rsidR="00457B1A">
        <w:rPr>
          <w:rFonts w:ascii="Times New Roman" w:hAnsi="Times New Roman" w:cs="Times New Roman"/>
          <w:sz w:val="24"/>
          <w:szCs w:val="24"/>
        </w:rPr>
        <w:t xml:space="preserve"> bestehen.</w:t>
      </w:r>
    </w:p>
    <w:p w:rsidR="00457B1A" w:rsidRDefault="00457B1A" w:rsidP="00A05034">
      <w:pPr>
        <w:pStyle w:val="Listenabsatz"/>
        <w:ind w:left="0"/>
        <w:rPr>
          <w:rFonts w:ascii="Times New Roman" w:hAnsi="Times New Roman" w:cs="Times New Roman"/>
          <w:sz w:val="24"/>
          <w:szCs w:val="24"/>
        </w:rPr>
      </w:pPr>
    </w:p>
    <w:p w:rsidR="00457B1A" w:rsidRDefault="00457B1A" w:rsidP="00A05034">
      <w:pPr>
        <w:pStyle w:val="Listenabsatz"/>
        <w:ind w:left="0"/>
        <w:rPr>
          <w:rFonts w:ascii="Times New Roman" w:hAnsi="Times New Roman" w:cs="Times New Roman"/>
          <w:sz w:val="24"/>
          <w:szCs w:val="24"/>
        </w:rPr>
      </w:pPr>
      <w:r>
        <w:rPr>
          <w:rFonts w:ascii="Times New Roman" w:hAnsi="Times New Roman" w:cs="Times New Roman"/>
          <w:sz w:val="24"/>
          <w:szCs w:val="24"/>
        </w:rPr>
        <w:t>Hypothetisch könnte man folgende Vermutungen anstellen: Das Bildungssystem wird die größte Inklusionsbereitschaft am ehesten gegenüber den sog. „weichen“ Behinderungen äußern. Folglich wird bei den Förderschwerpunkt</w:t>
      </w:r>
      <w:r w:rsidR="00A54915">
        <w:rPr>
          <w:rFonts w:ascii="Times New Roman" w:hAnsi="Times New Roman" w:cs="Times New Roman"/>
          <w:sz w:val="24"/>
          <w:szCs w:val="24"/>
        </w:rPr>
        <w:t>en</w:t>
      </w:r>
      <w:r>
        <w:rPr>
          <w:rFonts w:ascii="Times New Roman" w:hAnsi="Times New Roman" w:cs="Times New Roman"/>
          <w:sz w:val="24"/>
          <w:szCs w:val="24"/>
        </w:rPr>
        <w:t xml:space="preserve"> Lernen, Sprache und Verhalten sowohl eine stärkere Minderung der Separation als auch eine stärkere Häufung von Etikettierungsprozessen zu beobachten sein. </w:t>
      </w:r>
      <w:r w:rsidR="007C5414">
        <w:rPr>
          <w:rFonts w:ascii="Times New Roman" w:hAnsi="Times New Roman" w:cs="Times New Roman"/>
          <w:sz w:val="24"/>
          <w:szCs w:val="24"/>
        </w:rPr>
        <w:t>Die „härteren“ Behinderungen (Geistige Behinderung, Sehen, Hören, Körperlich-motorische Behinderung) sind durchweg mit medizinischen Korrelaten verbunden. Die Komorbidität mit medizinisch belangvollen Symptomatiken dürfte sich einer übergriff</w:t>
      </w:r>
      <w:r w:rsidR="00AE1FF3">
        <w:rPr>
          <w:rFonts w:ascii="Times New Roman" w:hAnsi="Times New Roman" w:cs="Times New Roman"/>
          <w:sz w:val="24"/>
          <w:szCs w:val="24"/>
        </w:rPr>
        <w:t>igen sonderpädagogische</w:t>
      </w:r>
      <w:r w:rsidR="00A54915">
        <w:rPr>
          <w:rFonts w:ascii="Times New Roman" w:hAnsi="Times New Roman" w:cs="Times New Roman"/>
          <w:sz w:val="24"/>
          <w:szCs w:val="24"/>
        </w:rPr>
        <w:t>n</w:t>
      </w:r>
      <w:r w:rsidR="00AE1FF3">
        <w:rPr>
          <w:rFonts w:ascii="Times New Roman" w:hAnsi="Times New Roman" w:cs="Times New Roman"/>
          <w:sz w:val="24"/>
          <w:szCs w:val="24"/>
        </w:rPr>
        <w:t xml:space="preserve"> Diagnostik</w:t>
      </w:r>
      <w:r w:rsidR="007C5414">
        <w:rPr>
          <w:rFonts w:ascii="Times New Roman" w:hAnsi="Times New Roman" w:cs="Times New Roman"/>
          <w:sz w:val="24"/>
          <w:szCs w:val="24"/>
        </w:rPr>
        <w:t xml:space="preserve"> eher widersetzen. </w:t>
      </w:r>
      <w:r w:rsidR="00A54915">
        <w:rPr>
          <w:rFonts w:ascii="Times New Roman" w:hAnsi="Times New Roman" w:cs="Times New Roman"/>
          <w:sz w:val="24"/>
          <w:szCs w:val="24"/>
        </w:rPr>
        <w:t>Folglich sind</w:t>
      </w:r>
      <w:r w:rsidR="0078570E">
        <w:rPr>
          <w:rFonts w:ascii="Times New Roman" w:hAnsi="Times New Roman" w:cs="Times New Roman"/>
          <w:sz w:val="24"/>
          <w:szCs w:val="24"/>
        </w:rPr>
        <w:t xml:space="preserve"> bei den „härteren“ Behinderungen</w:t>
      </w:r>
      <w:r w:rsidR="00A54915">
        <w:rPr>
          <w:rFonts w:ascii="Times New Roman" w:hAnsi="Times New Roman" w:cs="Times New Roman"/>
          <w:sz w:val="24"/>
          <w:szCs w:val="24"/>
        </w:rPr>
        <w:t xml:space="preserve"> hypothetisch tendenziell </w:t>
      </w:r>
      <w:r w:rsidR="007C5414">
        <w:rPr>
          <w:rFonts w:ascii="Times New Roman" w:hAnsi="Times New Roman" w:cs="Times New Roman"/>
          <w:sz w:val="24"/>
          <w:szCs w:val="24"/>
        </w:rPr>
        <w:t>eine geringere Etikettierungschance und eine zögerliche</w:t>
      </w:r>
      <w:r w:rsidR="00A54915">
        <w:rPr>
          <w:rFonts w:ascii="Times New Roman" w:hAnsi="Times New Roman" w:cs="Times New Roman"/>
          <w:sz w:val="24"/>
          <w:szCs w:val="24"/>
        </w:rPr>
        <w:t>re</w:t>
      </w:r>
      <w:r w:rsidR="007C5414">
        <w:rPr>
          <w:rFonts w:ascii="Times New Roman" w:hAnsi="Times New Roman" w:cs="Times New Roman"/>
          <w:sz w:val="24"/>
          <w:szCs w:val="24"/>
        </w:rPr>
        <w:t xml:space="preserve"> Abnahme der Separation in Sonderschulen zu erwarten.</w:t>
      </w:r>
    </w:p>
    <w:p w:rsidR="007C5414" w:rsidRDefault="007C5414" w:rsidP="00A05034">
      <w:pPr>
        <w:pStyle w:val="Listenabsatz"/>
        <w:ind w:left="0"/>
        <w:rPr>
          <w:rFonts w:ascii="Times New Roman" w:hAnsi="Times New Roman" w:cs="Times New Roman"/>
          <w:sz w:val="24"/>
          <w:szCs w:val="24"/>
        </w:rPr>
      </w:pPr>
    </w:p>
    <w:p w:rsidR="007C5414" w:rsidRDefault="007C5414" w:rsidP="00A05034">
      <w:pPr>
        <w:pStyle w:val="Listenabsatz"/>
        <w:ind w:left="0"/>
        <w:rPr>
          <w:rFonts w:ascii="Times New Roman" w:hAnsi="Times New Roman" w:cs="Times New Roman"/>
          <w:sz w:val="24"/>
          <w:szCs w:val="24"/>
        </w:rPr>
      </w:pPr>
      <w:r>
        <w:rPr>
          <w:rFonts w:ascii="Times New Roman" w:hAnsi="Times New Roman" w:cs="Times New Roman"/>
          <w:sz w:val="24"/>
          <w:szCs w:val="24"/>
        </w:rPr>
        <w:t xml:space="preserve">Die realen statistischen Daten sind höchst überraschend, weil sich die empirischen Entwicklungslinien völlig konträr zu den hypothetischen Erwartungen verhalten. </w:t>
      </w:r>
      <w:r w:rsidR="009C5A3C">
        <w:rPr>
          <w:rFonts w:ascii="Times New Roman" w:hAnsi="Times New Roman" w:cs="Times New Roman"/>
          <w:sz w:val="24"/>
          <w:szCs w:val="24"/>
        </w:rPr>
        <w:t>Die Förderschwerpunkte können zu drei Clustern gebündelt werden.</w:t>
      </w:r>
      <w:r w:rsidR="00E6307D">
        <w:rPr>
          <w:rFonts w:ascii="Times New Roman" w:hAnsi="Times New Roman" w:cs="Times New Roman"/>
          <w:sz w:val="24"/>
          <w:szCs w:val="24"/>
        </w:rPr>
        <w:t xml:space="preserve"> Die Entwicklungslinien der </w:t>
      </w:r>
      <w:r w:rsidR="00F70E73">
        <w:rPr>
          <w:rFonts w:ascii="Times New Roman" w:hAnsi="Times New Roman" w:cs="Times New Roman"/>
          <w:sz w:val="24"/>
          <w:szCs w:val="24"/>
        </w:rPr>
        <w:t xml:space="preserve">drei </w:t>
      </w:r>
      <w:r w:rsidR="00E6307D">
        <w:rPr>
          <w:rFonts w:ascii="Times New Roman" w:hAnsi="Times New Roman" w:cs="Times New Roman"/>
          <w:sz w:val="24"/>
          <w:szCs w:val="24"/>
        </w:rPr>
        <w:t>Cluster können aus Platzgründen nicht grafisch</w:t>
      </w:r>
      <w:r w:rsidR="00F70E73">
        <w:rPr>
          <w:rFonts w:ascii="Times New Roman" w:hAnsi="Times New Roman" w:cs="Times New Roman"/>
          <w:sz w:val="24"/>
          <w:szCs w:val="24"/>
        </w:rPr>
        <w:t xml:space="preserve"> dargestellt, sondern müssen den</w:t>
      </w:r>
      <w:r w:rsidR="00E6307D">
        <w:rPr>
          <w:rFonts w:ascii="Times New Roman" w:hAnsi="Times New Roman" w:cs="Times New Roman"/>
          <w:sz w:val="24"/>
          <w:szCs w:val="24"/>
        </w:rPr>
        <w:t xml:space="preserve"> Tabelle</w:t>
      </w:r>
      <w:r w:rsidR="005163A6">
        <w:rPr>
          <w:rFonts w:ascii="Times New Roman" w:hAnsi="Times New Roman" w:cs="Times New Roman"/>
          <w:sz w:val="24"/>
          <w:szCs w:val="24"/>
        </w:rPr>
        <w:t>n</w:t>
      </w:r>
      <w:r w:rsidR="00E6307D">
        <w:rPr>
          <w:rFonts w:ascii="Times New Roman" w:hAnsi="Times New Roman" w:cs="Times New Roman"/>
          <w:sz w:val="24"/>
          <w:szCs w:val="24"/>
        </w:rPr>
        <w:t xml:space="preserve"> 2</w:t>
      </w:r>
      <w:r w:rsidR="00F70E73">
        <w:rPr>
          <w:rFonts w:ascii="Times New Roman" w:hAnsi="Times New Roman" w:cs="Times New Roman"/>
          <w:sz w:val="24"/>
          <w:szCs w:val="24"/>
        </w:rPr>
        <w:t>.1 und 2.2</w:t>
      </w:r>
      <w:r w:rsidR="00E6307D">
        <w:rPr>
          <w:rFonts w:ascii="Times New Roman" w:hAnsi="Times New Roman" w:cs="Times New Roman"/>
          <w:sz w:val="24"/>
          <w:szCs w:val="24"/>
        </w:rPr>
        <w:t xml:space="preserve"> entnommen werden.</w:t>
      </w:r>
    </w:p>
    <w:p w:rsidR="004F0AB3" w:rsidRDefault="004F0AB3" w:rsidP="00A05034">
      <w:pPr>
        <w:pStyle w:val="Listenabsatz"/>
        <w:ind w:left="0"/>
        <w:rPr>
          <w:rFonts w:ascii="Times New Roman" w:hAnsi="Times New Roman" w:cs="Times New Roman"/>
          <w:sz w:val="24"/>
          <w:szCs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0"/>
        <w:gridCol w:w="966"/>
        <w:gridCol w:w="966"/>
        <w:gridCol w:w="967"/>
        <w:gridCol w:w="966"/>
        <w:gridCol w:w="966"/>
        <w:gridCol w:w="967"/>
        <w:gridCol w:w="966"/>
        <w:gridCol w:w="967"/>
      </w:tblGrid>
      <w:tr w:rsidR="00A34D91" w:rsidRPr="00A34D91" w:rsidTr="00A34D91">
        <w:trPr>
          <w:trHeight w:val="78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sz w:val="24"/>
                <w:szCs w:val="24"/>
                <w:lang w:eastAsia="de-DE"/>
              </w:rPr>
            </w:pPr>
          </w:p>
        </w:tc>
        <w:tc>
          <w:tcPr>
            <w:tcW w:w="1932" w:type="dxa"/>
            <w:gridSpan w:val="2"/>
            <w:shd w:val="clear" w:color="auto" w:fill="auto"/>
            <w:noWrap/>
            <w:vAlign w:val="center"/>
            <w:hideMark/>
          </w:tcPr>
          <w:p w:rsidR="00A34D91" w:rsidRPr="00A34D91" w:rsidRDefault="00A34D91" w:rsidP="00A34D91">
            <w:pPr>
              <w:jc w:val="cente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Sehen</w:t>
            </w:r>
          </w:p>
        </w:tc>
        <w:tc>
          <w:tcPr>
            <w:tcW w:w="1933" w:type="dxa"/>
            <w:gridSpan w:val="2"/>
            <w:shd w:val="clear" w:color="auto" w:fill="auto"/>
            <w:vAlign w:val="center"/>
            <w:hideMark/>
          </w:tcPr>
          <w:p w:rsidR="00A34D91" w:rsidRPr="00A34D91" w:rsidRDefault="00A34D91" w:rsidP="00A34D91">
            <w:pPr>
              <w:jc w:val="cente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Geistige Entwicklung</w:t>
            </w:r>
          </w:p>
        </w:tc>
        <w:tc>
          <w:tcPr>
            <w:tcW w:w="1933" w:type="dxa"/>
            <w:gridSpan w:val="2"/>
            <w:shd w:val="clear" w:color="auto" w:fill="auto"/>
            <w:vAlign w:val="center"/>
            <w:hideMark/>
          </w:tcPr>
          <w:p w:rsidR="00A34D91" w:rsidRPr="00A34D91" w:rsidRDefault="00A34D91" w:rsidP="00A34D91">
            <w:pPr>
              <w:jc w:val="cente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Körperliche und</w:t>
            </w:r>
            <w:r w:rsidRPr="00A34D91">
              <w:rPr>
                <w:rFonts w:ascii="Times New Roman" w:eastAsia="Times New Roman" w:hAnsi="Times New Roman" w:cs="Times New Roman"/>
                <w:color w:val="000000"/>
                <w:sz w:val="24"/>
                <w:szCs w:val="24"/>
                <w:lang w:eastAsia="de-DE"/>
              </w:rPr>
              <w:t xml:space="preserve"> </w:t>
            </w:r>
            <w:r w:rsidRPr="00A34D91">
              <w:rPr>
                <w:rFonts w:ascii="Times New Roman" w:eastAsia="Times New Roman" w:hAnsi="Times New Roman" w:cs="Times New Roman"/>
                <w:color w:val="000000"/>
                <w:sz w:val="24"/>
                <w:szCs w:val="24"/>
                <w:lang w:eastAsia="de-DE"/>
              </w:rPr>
              <w:br/>
              <w:t>motorische Entwicklung</w:t>
            </w:r>
          </w:p>
        </w:tc>
        <w:tc>
          <w:tcPr>
            <w:tcW w:w="1933" w:type="dxa"/>
            <w:gridSpan w:val="2"/>
            <w:shd w:val="clear" w:color="auto" w:fill="auto"/>
            <w:vAlign w:val="center"/>
            <w:hideMark/>
          </w:tcPr>
          <w:p w:rsidR="00A34D91" w:rsidRPr="00A34D91" w:rsidRDefault="00A34D91" w:rsidP="00A34D91">
            <w:pPr>
              <w:jc w:val="cente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Emotionale und</w:t>
            </w:r>
            <w:r w:rsidRPr="00A34D91">
              <w:rPr>
                <w:rFonts w:ascii="Times New Roman" w:eastAsia="Times New Roman" w:hAnsi="Times New Roman" w:cs="Times New Roman"/>
                <w:color w:val="000000"/>
                <w:sz w:val="24"/>
                <w:szCs w:val="24"/>
                <w:lang w:eastAsia="de-DE"/>
              </w:rPr>
              <w:br/>
              <w:t xml:space="preserve"> soziale Entwicklung</w:t>
            </w:r>
          </w:p>
        </w:tc>
      </w:tr>
      <w:tr w:rsidR="00A34D91" w:rsidRPr="00A34D91" w:rsidTr="00A34D91">
        <w:trPr>
          <w:trHeight w:val="525"/>
        </w:trPr>
        <w:tc>
          <w:tcPr>
            <w:tcW w:w="1200"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Schuljahr</w:t>
            </w:r>
          </w:p>
        </w:tc>
        <w:tc>
          <w:tcPr>
            <w:tcW w:w="966"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 AS</w:t>
            </w:r>
          </w:p>
        </w:tc>
        <w:tc>
          <w:tcPr>
            <w:tcW w:w="966"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 xml:space="preserve">(2) </w:t>
            </w:r>
            <w:proofErr w:type="spellStart"/>
            <w:r w:rsidRPr="00A34D91">
              <w:rPr>
                <w:rFonts w:ascii="Times New Roman" w:eastAsia="Times New Roman" w:hAnsi="Times New Roman" w:cs="Times New Roman"/>
                <w:color w:val="000000"/>
                <w:sz w:val="24"/>
                <w:szCs w:val="24"/>
                <w:lang w:eastAsia="de-DE"/>
              </w:rPr>
              <w:t>FS</w:t>
            </w:r>
            <w:proofErr w:type="spellEnd"/>
          </w:p>
        </w:tc>
        <w:tc>
          <w:tcPr>
            <w:tcW w:w="967"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(3) AS</w:t>
            </w:r>
          </w:p>
        </w:tc>
        <w:tc>
          <w:tcPr>
            <w:tcW w:w="966"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 xml:space="preserve">(4) </w:t>
            </w:r>
            <w:proofErr w:type="spellStart"/>
            <w:r w:rsidRPr="00A34D91">
              <w:rPr>
                <w:rFonts w:ascii="Times New Roman" w:eastAsia="Times New Roman" w:hAnsi="Times New Roman" w:cs="Times New Roman"/>
                <w:color w:val="000000"/>
                <w:sz w:val="24"/>
                <w:szCs w:val="24"/>
                <w:lang w:eastAsia="de-DE"/>
              </w:rPr>
              <w:t>FS</w:t>
            </w:r>
            <w:proofErr w:type="spellEnd"/>
          </w:p>
        </w:tc>
        <w:tc>
          <w:tcPr>
            <w:tcW w:w="966"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(5) AS</w:t>
            </w:r>
          </w:p>
        </w:tc>
        <w:tc>
          <w:tcPr>
            <w:tcW w:w="967"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 xml:space="preserve">(6) </w:t>
            </w:r>
            <w:proofErr w:type="spellStart"/>
            <w:r w:rsidRPr="00A34D91">
              <w:rPr>
                <w:rFonts w:ascii="Times New Roman" w:eastAsia="Times New Roman" w:hAnsi="Times New Roman" w:cs="Times New Roman"/>
                <w:color w:val="000000"/>
                <w:sz w:val="24"/>
                <w:szCs w:val="24"/>
                <w:lang w:eastAsia="de-DE"/>
              </w:rPr>
              <w:t>FS</w:t>
            </w:r>
            <w:proofErr w:type="spellEnd"/>
          </w:p>
        </w:tc>
        <w:tc>
          <w:tcPr>
            <w:tcW w:w="966"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(7) AS</w:t>
            </w:r>
          </w:p>
        </w:tc>
        <w:tc>
          <w:tcPr>
            <w:tcW w:w="967"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 xml:space="preserve">(8) </w:t>
            </w:r>
            <w:proofErr w:type="spellStart"/>
            <w:r w:rsidRPr="00A34D91">
              <w:rPr>
                <w:rFonts w:ascii="Times New Roman" w:eastAsia="Times New Roman" w:hAnsi="Times New Roman" w:cs="Times New Roman"/>
                <w:color w:val="000000"/>
                <w:sz w:val="24"/>
                <w:szCs w:val="24"/>
                <w:lang w:eastAsia="de-DE"/>
              </w:rPr>
              <w:t>FS</w:t>
            </w:r>
            <w:proofErr w:type="spellEnd"/>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2008/09</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100,0</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2009/10</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98,1</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100,6</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95,8</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100,5</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84,5</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100,2</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95,1</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102,1</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2010/11</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112,4</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101,1</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116,3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100,2</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143,3</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100,4</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128,1</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105,0</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2011/12</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173,3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98,2</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118,3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99,5</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161,2</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99,1</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146,2</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112,6</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2012/13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168,6</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96,9</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162,7</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97,7</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193,9</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100,1</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164,8</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117,5</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2013/14</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188,6</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93,2</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175,3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95,3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204,1</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101,8</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178,7</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125,2</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2014/15</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193,3</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91,5</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199,6</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94,5</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220,8</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99,7</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186,4</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129,5</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2015/16</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201,9</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91,5</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239,5</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94,0</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230,6</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98,6</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197,2</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129,4</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2016/17</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212,4</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91,4</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253,2</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95,9</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235,5</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98,2</w:t>
            </w:r>
          </w:p>
        </w:tc>
        <w:tc>
          <w:tcPr>
            <w:tcW w:w="966"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188,7</w:t>
            </w:r>
          </w:p>
        </w:tc>
        <w:tc>
          <w:tcPr>
            <w:tcW w:w="967"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sz w:val="24"/>
                <w:szCs w:val="24"/>
                <w:lang w:eastAsia="de-DE"/>
              </w:rPr>
            </w:pPr>
            <w:r w:rsidRPr="00A34D91">
              <w:rPr>
                <w:rFonts w:ascii="Times New Roman" w:eastAsia="Times New Roman" w:hAnsi="Times New Roman" w:cs="Times New Roman"/>
                <w:color w:val="000000"/>
                <w:sz w:val="24"/>
                <w:szCs w:val="24"/>
                <w:lang w:eastAsia="de-DE"/>
              </w:rPr>
              <w:t>124,3</w:t>
            </w:r>
          </w:p>
        </w:tc>
      </w:tr>
    </w:tbl>
    <w:p w:rsidR="00077372" w:rsidRDefault="00077372" w:rsidP="00A05034">
      <w:pPr>
        <w:pStyle w:val="Listenabsatz"/>
        <w:ind w:left="0"/>
        <w:rPr>
          <w:rFonts w:ascii="Times New Roman" w:hAnsi="Times New Roman" w:cs="Times New Roman"/>
        </w:rPr>
      </w:pPr>
    </w:p>
    <w:p w:rsidR="00A34D91" w:rsidRDefault="00A34D91" w:rsidP="00A34D91">
      <w:pPr>
        <w:pStyle w:val="Listenabsatz"/>
        <w:ind w:left="0"/>
        <w:rPr>
          <w:rFonts w:ascii="Times New Roman" w:hAnsi="Times New Roman" w:cs="Times New Roman"/>
          <w:sz w:val="24"/>
          <w:szCs w:val="24"/>
        </w:rPr>
      </w:pPr>
      <w:r>
        <w:rPr>
          <w:rFonts w:ascii="Times New Roman" w:hAnsi="Times New Roman" w:cs="Times New Roman"/>
          <w:sz w:val="24"/>
          <w:szCs w:val="24"/>
        </w:rPr>
        <w:t>Tab. 2.1: Entwicklungen der Inklusion und Separation in den Förderschwerpunkten Sehen, Geistige Entwicklung, Körperliche und motorische Entwicklung, Emotionale und soziale Entwicklung</w:t>
      </w:r>
    </w:p>
    <w:p w:rsidR="00A34D91" w:rsidRDefault="00A34D91">
      <w:pPr>
        <w:rPr>
          <w:rFonts w:ascii="Times New Roman" w:hAnsi="Times New Roman" w:cs="Times New Roman"/>
        </w:rPr>
      </w:pPr>
      <w:r>
        <w:rPr>
          <w:rFonts w:ascii="Times New Roman" w:hAnsi="Times New Roman" w:cs="Times New Roman"/>
        </w:rPr>
        <w:br w:type="page"/>
      </w:r>
    </w:p>
    <w:p w:rsidR="00A34D91" w:rsidRPr="00A34D91" w:rsidRDefault="00A34D91" w:rsidP="00A05034">
      <w:pPr>
        <w:pStyle w:val="Listenabsatz"/>
        <w:ind w:left="0"/>
        <w:rPr>
          <w:rFonts w:ascii="Times New Roman" w:hAnsi="Times New Roman" w:cs="Times New Roman"/>
        </w:rPr>
      </w:pP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0"/>
        <w:gridCol w:w="981"/>
        <w:gridCol w:w="981"/>
        <w:gridCol w:w="982"/>
        <w:gridCol w:w="981"/>
        <w:gridCol w:w="981"/>
        <w:gridCol w:w="982"/>
      </w:tblGrid>
      <w:tr w:rsidR="00A34D91" w:rsidRPr="00A34D91" w:rsidTr="00A34D91">
        <w:trPr>
          <w:trHeight w:val="465"/>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lang w:eastAsia="de-DE"/>
              </w:rPr>
            </w:pPr>
          </w:p>
        </w:tc>
        <w:tc>
          <w:tcPr>
            <w:tcW w:w="1962" w:type="dxa"/>
            <w:gridSpan w:val="2"/>
            <w:shd w:val="clear" w:color="auto" w:fill="auto"/>
            <w:noWrap/>
            <w:vAlign w:val="center"/>
            <w:hideMark/>
          </w:tcPr>
          <w:p w:rsidR="00A34D91" w:rsidRPr="00A34D91" w:rsidRDefault="00A34D91" w:rsidP="00A34D91">
            <w:pPr>
              <w:jc w:val="cente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Sprache</w:t>
            </w:r>
          </w:p>
        </w:tc>
        <w:tc>
          <w:tcPr>
            <w:tcW w:w="1963" w:type="dxa"/>
            <w:gridSpan w:val="2"/>
            <w:shd w:val="clear" w:color="auto" w:fill="auto"/>
            <w:noWrap/>
            <w:vAlign w:val="center"/>
            <w:hideMark/>
          </w:tcPr>
          <w:p w:rsidR="00A34D91" w:rsidRPr="00A34D91" w:rsidRDefault="00A34D91" w:rsidP="00A34D91">
            <w:pPr>
              <w:jc w:val="cente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Lernen</w:t>
            </w:r>
          </w:p>
        </w:tc>
        <w:tc>
          <w:tcPr>
            <w:tcW w:w="1963" w:type="dxa"/>
            <w:gridSpan w:val="2"/>
            <w:shd w:val="clear" w:color="auto" w:fill="auto"/>
            <w:noWrap/>
            <w:vAlign w:val="center"/>
            <w:hideMark/>
          </w:tcPr>
          <w:p w:rsidR="00A34D91" w:rsidRPr="00A34D91" w:rsidRDefault="00A34D91" w:rsidP="00A34D91">
            <w:pPr>
              <w:jc w:val="cente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Hören</w:t>
            </w:r>
          </w:p>
        </w:tc>
      </w:tr>
      <w:tr w:rsidR="00A34D91" w:rsidRPr="00A34D91" w:rsidTr="00A34D91">
        <w:trPr>
          <w:trHeight w:val="525"/>
        </w:trPr>
        <w:tc>
          <w:tcPr>
            <w:tcW w:w="1200"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Schuljahr</w:t>
            </w:r>
          </w:p>
        </w:tc>
        <w:tc>
          <w:tcPr>
            <w:tcW w:w="981"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 AS</w:t>
            </w:r>
          </w:p>
        </w:tc>
        <w:tc>
          <w:tcPr>
            <w:tcW w:w="981"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 xml:space="preserve">(10) </w:t>
            </w:r>
            <w:proofErr w:type="spellStart"/>
            <w:r w:rsidRPr="00A34D91">
              <w:rPr>
                <w:rFonts w:ascii="Times New Roman" w:eastAsia="Times New Roman" w:hAnsi="Times New Roman" w:cs="Times New Roman"/>
                <w:color w:val="000000"/>
                <w:lang w:eastAsia="de-DE"/>
              </w:rPr>
              <w:t>FS</w:t>
            </w:r>
            <w:proofErr w:type="spellEnd"/>
          </w:p>
        </w:tc>
        <w:tc>
          <w:tcPr>
            <w:tcW w:w="982"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(11) AS</w:t>
            </w:r>
          </w:p>
        </w:tc>
        <w:tc>
          <w:tcPr>
            <w:tcW w:w="981"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 xml:space="preserve">(12) </w:t>
            </w:r>
            <w:proofErr w:type="spellStart"/>
            <w:r w:rsidRPr="00A34D91">
              <w:rPr>
                <w:rFonts w:ascii="Times New Roman" w:eastAsia="Times New Roman" w:hAnsi="Times New Roman" w:cs="Times New Roman"/>
                <w:color w:val="000000"/>
                <w:lang w:eastAsia="de-DE"/>
              </w:rPr>
              <w:t>FS</w:t>
            </w:r>
            <w:proofErr w:type="spellEnd"/>
          </w:p>
        </w:tc>
        <w:tc>
          <w:tcPr>
            <w:tcW w:w="981"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(13) AS</w:t>
            </w:r>
          </w:p>
        </w:tc>
        <w:tc>
          <w:tcPr>
            <w:tcW w:w="982" w:type="dxa"/>
            <w:shd w:val="clear" w:color="auto" w:fill="auto"/>
            <w:noWrap/>
            <w:vAlign w:val="center"/>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 xml:space="preserve">(14) </w:t>
            </w:r>
            <w:proofErr w:type="spellStart"/>
            <w:r w:rsidRPr="00A34D91">
              <w:rPr>
                <w:rFonts w:ascii="Times New Roman" w:eastAsia="Times New Roman" w:hAnsi="Times New Roman" w:cs="Times New Roman"/>
                <w:color w:val="000000"/>
                <w:lang w:eastAsia="de-DE"/>
              </w:rPr>
              <w:t>FS</w:t>
            </w:r>
            <w:proofErr w:type="spellEnd"/>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2008/09</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100,0</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100,0</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100,0</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100,0</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100,0</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100,0</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2009/10</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98,3</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93,2</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96,3</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97,8</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99,6</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102,1</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2010/11</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112,7</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90,1</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124,9</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95,2</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337,2</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102,7</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2011/12</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111,0</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86,4</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142,5</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91,5</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316,5</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104,9</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2012/13</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124,9</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82,6</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160,3</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91,5</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333,3</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98,6</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2013/14</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136,2</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82,6</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167,1</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87,6</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370,6</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99,7</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2014/15</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132,3</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80,4</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171,7</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85,6</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387,4</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101,0</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2015/16</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129,5</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76,2</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173,2</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86,0</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408,7</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102,2</w:t>
            </w:r>
          </w:p>
        </w:tc>
      </w:tr>
      <w:tr w:rsidR="00A34D91" w:rsidRPr="00A34D91" w:rsidTr="00A34D91">
        <w:trPr>
          <w:trHeight w:val="300"/>
        </w:trPr>
        <w:tc>
          <w:tcPr>
            <w:tcW w:w="1200" w:type="dxa"/>
            <w:shd w:val="clear" w:color="auto" w:fill="auto"/>
            <w:noWrap/>
            <w:vAlign w:val="bottom"/>
            <w:hideMark/>
          </w:tcPr>
          <w:p w:rsidR="00A34D91" w:rsidRPr="00A34D91" w:rsidRDefault="00A34D91" w:rsidP="00A34D91">
            <w:pPr>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2016/17</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127,5</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71,8</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163,3</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87,4</w:t>
            </w:r>
          </w:p>
        </w:tc>
        <w:tc>
          <w:tcPr>
            <w:tcW w:w="981"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387,0</w:t>
            </w:r>
          </w:p>
        </w:tc>
        <w:tc>
          <w:tcPr>
            <w:tcW w:w="982" w:type="dxa"/>
            <w:shd w:val="clear" w:color="auto" w:fill="auto"/>
            <w:noWrap/>
            <w:vAlign w:val="bottom"/>
            <w:hideMark/>
          </w:tcPr>
          <w:p w:rsidR="00A34D91" w:rsidRPr="00A34D91" w:rsidRDefault="00A34D91" w:rsidP="00A34D91">
            <w:pPr>
              <w:jc w:val="right"/>
              <w:rPr>
                <w:rFonts w:ascii="Times New Roman" w:eastAsia="Times New Roman" w:hAnsi="Times New Roman" w:cs="Times New Roman"/>
                <w:color w:val="000000"/>
                <w:lang w:eastAsia="de-DE"/>
              </w:rPr>
            </w:pPr>
            <w:r w:rsidRPr="00A34D91">
              <w:rPr>
                <w:rFonts w:ascii="Times New Roman" w:eastAsia="Times New Roman" w:hAnsi="Times New Roman" w:cs="Times New Roman"/>
                <w:color w:val="000000"/>
                <w:lang w:eastAsia="de-DE"/>
              </w:rPr>
              <w:t>99,8</w:t>
            </w:r>
          </w:p>
        </w:tc>
      </w:tr>
    </w:tbl>
    <w:p w:rsidR="00A34D91" w:rsidRPr="00A34D91" w:rsidRDefault="00A34D91" w:rsidP="00A05034">
      <w:pPr>
        <w:pStyle w:val="Listenabsatz"/>
        <w:ind w:left="0"/>
        <w:rPr>
          <w:rFonts w:ascii="Times New Roman" w:hAnsi="Times New Roman" w:cs="Times New Roman"/>
        </w:rPr>
      </w:pPr>
    </w:p>
    <w:p w:rsidR="00014EFA" w:rsidRDefault="004F0AB3" w:rsidP="00A05034">
      <w:pPr>
        <w:pStyle w:val="Listenabsatz"/>
        <w:ind w:left="0"/>
        <w:rPr>
          <w:rFonts w:ascii="Times New Roman" w:hAnsi="Times New Roman" w:cs="Times New Roman"/>
          <w:sz w:val="24"/>
          <w:szCs w:val="24"/>
        </w:rPr>
      </w:pPr>
      <w:r>
        <w:rPr>
          <w:rFonts w:ascii="Times New Roman" w:hAnsi="Times New Roman" w:cs="Times New Roman"/>
          <w:sz w:val="24"/>
          <w:szCs w:val="24"/>
        </w:rPr>
        <w:t>Tab. 2.2</w:t>
      </w:r>
      <w:r w:rsidR="00014EFA">
        <w:rPr>
          <w:rFonts w:ascii="Times New Roman" w:hAnsi="Times New Roman" w:cs="Times New Roman"/>
          <w:sz w:val="24"/>
          <w:szCs w:val="24"/>
        </w:rPr>
        <w:t>: Entwicklungen der Inklusion und Separation in den Förderschwerpunkten Sprache, Lernen und Hören</w:t>
      </w:r>
    </w:p>
    <w:p w:rsidR="00014EFA" w:rsidRDefault="00014EFA" w:rsidP="00A05034">
      <w:pPr>
        <w:pStyle w:val="Listenabsatz"/>
        <w:ind w:left="0"/>
        <w:rPr>
          <w:rFonts w:ascii="Times New Roman" w:hAnsi="Times New Roman" w:cs="Times New Roman"/>
          <w:sz w:val="24"/>
          <w:szCs w:val="24"/>
        </w:rPr>
      </w:pPr>
    </w:p>
    <w:p w:rsidR="00014EFA" w:rsidRDefault="00014EFA" w:rsidP="00014EFA">
      <w:pPr>
        <w:pStyle w:val="Listenabsatz"/>
        <w:ind w:left="0"/>
        <w:rPr>
          <w:rFonts w:ascii="Times New Roman" w:hAnsi="Times New Roman" w:cs="Times New Roman"/>
          <w:sz w:val="24"/>
          <w:szCs w:val="24"/>
        </w:rPr>
      </w:pPr>
      <w:r>
        <w:rPr>
          <w:rFonts w:ascii="Times New Roman" w:hAnsi="Times New Roman" w:cs="Times New Roman"/>
          <w:sz w:val="24"/>
          <w:szCs w:val="24"/>
        </w:rPr>
        <w:t xml:space="preserve">Das erste Cluster wird ein wenig mit Vorschusslorbeeren bedacht und „Musterknaben“ genannt. Bei diesem Cluster nehmen den Reformzielen entsprechend die Anzahl der Inklusionsfälle zu und die Anzahl </w:t>
      </w:r>
      <w:r w:rsidR="00A54915">
        <w:rPr>
          <w:rFonts w:ascii="Times New Roman" w:hAnsi="Times New Roman" w:cs="Times New Roman"/>
          <w:sz w:val="24"/>
          <w:szCs w:val="24"/>
        </w:rPr>
        <w:t xml:space="preserve">der </w:t>
      </w:r>
      <w:r>
        <w:rPr>
          <w:rFonts w:ascii="Times New Roman" w:hAnsi="Times New Roman" w:cs="Times New Roman"/>
          <w:sz w:val="24"/>
          <w:szCs w:val="24"/>
        </w:rPr>
        <w:t>verbleibenden Separationsfälle deutlich ab. Zu dem Cluster der inklusionspolitischen „Musterknaben“ zählen die Förderschwerpunkt</w:t>
      </w:r>
      <w:r w:rsidR="00C55361">
        <w:rPr>
          <w:rFonts w:ascii="Times New Roman" w:hAnsi="Times New Roman" w:cs="Times New Roman"/>
          <w:sz w:val="24"/>
          <w:szCs w:val="24"/>
        </w:rPr>
        <w:t>e</w:t>
      </w:r>
      <w:r>
        <w:rPr>
          <w:rFonts w:ascii="Times New Roman" w:hAnsi="Times New Roman" w:cs="Times New Roman"/>
          <w:sz w:val="24"/>
          <w:szCs w:val="24"/>
        </w:rPr>
        <w:t xml:space="preserve"> „Lernen“ und „Sprache“ (Tab. 2</w:t>
      </w:r>
      <w:r w:rsidR="00F70E73">
        <w:rPr>
          <w:rFonts w:ascii="Times New Roman" w:hAnsi="Times New Roman" w:cs="Times New Roman"/>
          <w:sz w:val="24"/>
          <w:szCs w:val="24"/>
        </w:rPr>
        <w:t>.2</w:t>
      </w:r>
      <w:r>
        <w:rPr>
          <w:rFonts w:ascii="Times New Roman" w:hAnsi="Times New Roman" w:cs="Times New Roman"/>
          <w:sz w:val="24"/>
          <w:szCs w:val="24"/>
        </w:rPr>
        <w:t>, Spalte</w:t>
      </w:r>
      <w:r w:rsidR="00F70E73">
        <w:rPr>
          <w:rFonts w:ascii="Times New Roman" w:hAnsi="Times New Roman" w:cs="Times New Roman"/>
          <w:sz w:val="24"/>
          <w:szCs w:val="24"/>
        </w:rPr>
        <w:t>n 9 und 10 sowie 11 und 12</w:t>
      </w:r>
      <w:r>
        <w:rPr>
          <w:rFonts w:ascii="Times New Roman" w:hAnsi="Times New Roman" w:cs="Times New Roman"/>
          <w:sz w:val="24"/>
          <w:szCs w:val="24"/>
        </w:rPr>
        <w:t>).</w:t>
      </w:r>
    </w:p>
    <w:p w:rsidR="00014EFA" w:rsidRDefault="00014EFA" w:rsidP="00A05034">
      <w:pPr>
        <w:pStyle w:val="Listenabsatz"/>
        <w:ind w:left="0"/>
        <w:rPr>
          <w:rFonts w:ascii="Times New Roman" w:hAnsi="Times New Roman" w:cs="Times New Roman"/>
          <w:sz w:val="24"/>
          <w:szCs w:val="24"/>
        </w:rPr>
      </w:pPr>
    </w:p>
    <w:p w:rsidR="009C5A3C" w:rsidRDefault="009C5A3C" w:rsidP="00A05034">
      <w:pPr>
        <w:pStyle w:val="Listenabsatz"/>
        <w:ind w:left="0"/>
        <w:rPr>
          <w:rFonts w:ascii="Times New Roman" w:hAnsi="Times New Roman" w:cs="Times New Roman"/>
          <w:sz w:val="24"/>
          <w:szCs w:val="24"/>
        </w:rPr>
      </w:pPr>
      <w:r>
        <w:rPr>
          <w:rFonts w:ascii="Times New Roman" w:hAnsi="Times New Roman" w:cs="Times New Roman"/>
          <w:sz w:val="24"/>
          <w:szCs w:val="24"/>
        </w:rPr>
        <w:t>Das zweite Cluster wird mit der kriti</w:t>
      </w:r>
      <w:r w:rsidR="00C55361">
        <w:rPr>
          <w:rFonts w:ascii="Times New Roman" w:hAnsi="Times New Roman" w:cs="Times New Roman"/>
          <w:sz w:val="24"/>
          <w:szCs w:val="24"/>
        </w:rPr>
        <w:t>schen Vokabel „Wilderer“ belegt</w:t>
      </w:r>
      <w:r>
        <w:rPr>
          <w:rFonts w:ascii="Times New Roman" w:hAnsi="Times New Roman" w:cs="Times New Roman"/>
          <w:sz w:val="24"/>
          <w:szCs w:val="24"/>
        </w:rPr>
        <w:t>. Bei den Förderschwerpunkten dieses</w:t>
      </w:r>
      <w:r w:rsidR="00A54915">
        <w:rPr>
          <w:rFonts w:ascii="Times New Roman" w:hAnsi="Times New Roman" w:cs="Times New Roman"/>
          <w:sz w:val="24"/>
          <w:szCs w:val="24"/>
        </w:rPr>
        <w:t xml:space="preserve"> Clusters ist eine hohe Stabilität der Separation und zugleich in </w:t>
      </w:r>
      <w:r w:rsidR="00014EFA">
        <w:rPr>
          <w:rFonts w:ascii="Times New Roman" w:hAnsi="Times New Roman" w:cs="Times New Roman"/>
          <w:sz w:val="24"/>
          <w:szCs w:val="24"/>
        </w:rPr>
        <w:t xml:space="preserve">etwa </w:t>
      </w:r>
      <w:r>
        <w:rPr>
          <w:rFonts w:ascii="Times New Roman" w:hAnsi="Times New Roman" w:cs="Times New Roman"/>
          <w:sz w:val="24"/>
          <w:szCs w:val="24"/>
        </w:rPr>
        <w:t>eine Verdoppelung der Inklusionsschüler in den allgemeinen Schulen zu beobachten. Angehörige de</w:t>
      </w:r>
      <w:r w:rsidR="00014EFA">
        <w:rPr>
          <w:rFonts w:ascii="Times New Roman" w:hAnsi="Times New Roman" w:cs="Times New Roman"/>
          <w:sz w:val="24"/>
          <w:szCs w:val="24"/>
        </w:rPr>
        <w:t>s Clusters „Wilderer“ sind die F</w:t>
      </w:r>
      <w:r>
        <w:rPr>
          <w:rFonts w:ascii="Times New Roman" w:hAnsi="Times New Roman" w:cs="Times New Roman"/>
          <w:sz w:val="24"/>
          <w:szCs w:val="24"/>
        </w:rPr>
        <w:t>örderschwerpunkte Körperlich-motorische Entwicklung, Sehen, Geistige Entwicklung un</w:t>
      </w:r>
      <w:r w:rsidR="00C55361">
        <w:rPr>
          <w:rFonts w:ascii="Times New Roman" w:hAnsi="Times New Roman" w:cs="Times New Roman"/>
          <w:sz w:val="24"/>
          <w:szCs w:val="24"/>
        </w:rPr>
        <w:t>d Sozial-emotionale Entwicklung (Tabelle 2.1).</w:t>
      </w:r>
    </w:p>
    <w:p w:rsidR="009C5A3C" w:rsidRDefault="009C5A3C" w:rsidP="00A05034">
      <w:pPr>
        <w:pStyle w:val="Listenabsatz"/>
        <w:ind w:left="0"/>
        <w:rPr>
          <w:rFonts w:ascii="Times New Roman" w:hAnsi="Times New Roman" w:cs="Times New Roman"/>
          <w:sz w:val="24"/>
          <w:szCs w:val="24"/>
        </w:rPr>
      </w:pPr>
    </w:p>
    <w:p w:rsidR="009C5A3C" w:rsidRDefault="00E6307D" w:rsidP="00A05034">
      <w:pPr>
        <w:pStyle w:val="Listenabsatz"/>
        <w:ind w:left="0"/>
        <w:rPr>
          <w:rFonts w:ascii="Times New Roman" w:hAnsi="Times New Roman" w:cs="Times New Roman"/>
          <w:sz w:val="24"/>
          <w:szCs w:val="24"/>
        </w:rPr>
      </w:pPr>
      <w:r>
        <w:rPr>
          <w:rFonts w:ascii="Times New Roman" w:hAnsi="Times New Roman" w:cs="Times New Roman"/>
          <w:sz w:val="24"/>
          <w:szCs w:val="24"/>
        </w:rPr>
        <w:t>Das dritte Cluster erhält das vorwurfsvolle Attribut „Raubritter“. Die „Raubritter“ widersetz</w:t>
      </w:r>
      <w:r w:rsidR="00A54915">
        <w:rPr>
          <w:rFonts w:ascii="Times New Roman" w:hAnsi="Times New Roman" w:cs="Times New Roman"/>
          <w:sz w:val="24"/>
          <w:szCs w:val="24"/>
        </w:rPr>
        <w:t>en sich den</w:t>
      </w:r>
      <w:r>
        <w:rPr>
          <w:rFonts w:ascii="Times New Roman" w:hAnsi="Times New Roman" w:cs="Times New Roman"/>
          <w:sz w:val="24"/>
          <w:szCs w:val="24"/>
        </w:rPr>
        <w:t xml:space="preserve"> bildungspolitischen Imperativ</w:t>
      </w:r>
      <w:r w:rsidR="00A54915">
        <w:rPr>
          <w:rFonts w:ascii="Times New Roman" w:hAnsi="Times New Roman" w:cs="Times New Roman"/>
          <w:sz w:val="24"/>
          <w:szCs w:val="24"/>
        </w:rPr>
        <w:t>en</w:t>
      </w:r>
      <w:r>
        <w:rPr>
          <w:rFonts w:ascii="Times New Roman" w:hAnsi="Times New Roman" w:cs="Times New Roman"/>
          <w:sz w:val="24"/>
          <w:szCs w:val="24"/>
        </w:rPr>
        <w:t xml:space="preserve"> der Inklusion völlig. Es gelingt ihnen nicht nur, die Anzahl der „Sonderschüler“ (=Förderschüler in </w:t>
      </w:r>
      <w:r w:rsidR="00014EFA">
        <w:rPr>
          <w:rFonts w:ascii="Times New Roman" w:hAnsi="Times New Roman" w:cs="Times New Roman"/>
          <w:sz w:val="24"/>
          <w:szCs w:val="24"/>
        </w:rPr>
        <w:t>den Sonderschulen) zu stabilisieren</w:t>
      </w:r>
      <w:r>
        <w:rPr>
          <w:rFonts w:ascii="Times New Roman" w:hAnsi="Times New Roman" w:cs="Times New Roman"/>
          <w:sz w:val="24"/>
          <w:szCs w:val="24"/>
        </w:rPr>
        <w:t>, sondern obendrein noch die Anzahl der Inklusionsschüler (=Förderschüler in den allgemeinen Schulen) zu vervierfachen! Dieses extreme Negativmuster der „Raubritter“ wird durch den Förder</w:t>
      </w:r>
      <w:r w:rsidR="00C55361">
        <w:rPr>
          <w:rFonts w:ascii="Times New Roman" w:hAnsi="Times New Roman" w:cs="Times New Roman"/>
          <w:sz w:val="24"/>
          <w:szCs w:val="24"/>
        </w:rPr>
        <w:t>schwerpunkt Hören repräsentiert (Tabelle 2.2, Spalten 13 und 14).</w:t>
      </w:r>
    </w:p>
    <w:p w:rsidR="00E6307D" w:rsidRDefault="00E6307D" w:rsidP="00A05034">
      <w:pPr>
        <w:pStyle w:val="Listenabsatz"/>
        <w:ind w:left="0"/>
        <w:rPr>
          <w:rFonts w:ascii="Times New Roman" w:hAnsi="Times New Roman" w:cs="Times New Roman"/>
          <w:sz w:val="24"/>
          <w:szCs w:val="24"/>
        </w:rPr>
      </w:pPr>
    </w:p>
    <w:p w:rsidR="00AB37F4" w:rsidRPr="00817537" w:rsidRDefault="002A5C6C" w:rsidP="002A5C6C">
      <w:pPr>
        <w:pStyle w:val="Listenabsatz"/>
        <w:ind w:left="0"/>
        <w:rPr>
          <w:rFonts w:ascii="Times New Roman" w:hAnsi="Times New Roman" w:cs="Times New Roman"/>
          <w:sz w:val="24"/>
          <w:szCs w:val="24"/>
        </w:rPr>
      </w:pPr>
      <w:r>
        <w:rPr>
          <w:rFonts w:ascii="Times New Roman" w:hAnsi="Times New Roman" w:cs="Times New Roman"/>
          <w:sz w:val="24"/>
          <w:szCs w:val="24"/>
        </w:rPr>
        <w:t xml:space="preserve">Die journalistischen Bezeichnungen „Wilderer“ und „Raubritter“ mögen </w:t>
      </w:r>
      <w:r w:rsidR="00C55361">
        <w:rPr>
          <w:rFonts w:ascii="Times New Roman" w:hAnsi="Times New Roman" w:cs="Times New Roman"/>
          <w:sz w:val="24"/>
          <w:szCs w:val="24"/>
        </w:rPr>
        <w:t>Anstoß erregen</w:t>
      </w:r>
      <w:r>
        <w:rPr>
          <w:rFonts w:ascii="Times New Roman" w:hAnsi="Times New Roman" w:cs="Times New Roman"/>
          <w:sz w:val="24"/>
          <w:szCs w:val="24"/>
        </w:rPr>
        <w:t xml:space="preserve">; sie sollen durch ihre kritische Zuspitzung </w:t>
      </w:r>
      <w:r w:rsidR="00345378">
        <w:rPr>
          <w:rFonts w:ascii="Times New Roman" w:hAnsi="Times New Roman" w:cs="Times New Roman"/>
          <w:sz w:val="24"/>
          <w:szCs w:val="24"/>
        </w:rPr>
        <w:t>bewusstmachen</w:t>
      </w:r>
      <w:r>
        <w:rPr>
          <w:rFonts w:ascii="Times New Roman" w:hAnsi="Times New Roman" w:cs="Times New Roman"/>
          <w:sz w:val="24"/>
          <w:szCs w:val="24"/>
        </w:rPr>
        <w:t>, dass die festgestellten Entwicklungen in keiner Weise mit den basalen Reformzielen der Inklusionspolitik (Minderung der Separation und Maximierung</w:t>
      </w:r>
      <w:r w:rsidR="00014EFA">
        <w:rPr>
          <w:rFonts w:ascii="Times New Roman" w:hAnsi="Times New Roman" w:cs="Times New Roman"/>
          <w:sz w:val="24"/>
          <w:szCs w:val="24"/>
        </w:rPr>
        <w:t xml:space="preserve"> der Integration) vereinbar sind</w:t>
      </w:r>
      <w:r>
        <w:rPr>
          <w:rFonts w:ascii="Times New Roman" w:hAnsi="Times New Roman" w:cs="Times New Roman"/>
          <w:sz w:val="24"/>
          <w:szCs w:val="24"/>
        </w:rPr>
        <w:t>. Dies wird an späterer Stelle weiter zu begründen sein.</w:t>
      </w:r>
    </w:p>
    <w:p w:rsidR="000812D9" w:rsidRDefault="000812D9">
      <w:pPr>
        <w:rPr>
          <w:rFonts w:ascii="Times New Roman" w:hAnsi="Times New Roman" w:cs="Times New Roman"/>
          <w:sz w:val="24"/>
          <w:szCs w:val="24"/>
        </w:rPr>
      </w:pPr>
    </w:p>
    <w:p w:rsidR="000812D9" w:rsidRPr="000812D9" w:rsidRDefault="00C327B2">
      <w:pPr>
        <w:rPr>
          <w:rFonts w:ascii="Times New Roman" w:hAnsi="Times New Roman" w:cs="Times New Roman"/>
          <w:b/>
          <w:sz w:val="24"/>
          <w:szCs w:val="24"/>
        </w:rPr>
      </w:pPr>
      <w:r>
        <w:rPr>
          <w:rFonts w:ascii="Times New Roman" w:hAnsi="Times New Roman" w:cs="Times New Roman"/>
          <w:b/>
          <w:sz w:val="24"/>
          <w:szCs w:val="24"/>
        </w:rPr>
        <w:t>5.</w:t>
      </w:r>
      <w:r w:rsidR="000812D9" w:rsidRPr="000812D9">
        <w:rPr>
          <w:rFonts w:ascii="Times New Roman" w:hAnsi="Times New Roman" w:cs="Times New Roman"/>
          <w:b/>
          <w:sz w:val="24"/>
          <w:szCs w:val="24"/>
        </w:rPr>
        <w:t xml:space="preserve"> Erkl</w:t>
      </w:r>
      <w:r>
        <w:rPr>
          <w:rFonts w:ascii="Times New Roman" w:hAnsi="Times New Roman" w:cs="Times New Roman"/>
          <w:b/>
          <w:sz w:val="24"/>
          <w:szCs w:val="24"/>
        </w:rPr>
        <w:t>ärungen</w:t>
      </w:r>
    </w:p>
    <w:p w:rsidR="000812D9" w:rsidRDefault="000812D9">
      <w:pPr>
        <w:rPr>
          <w:rFonts w:ascii="Times New Roman" w:hAnsi="Times New Roman" w:cs="Times New Roman"/>
          <w:sz w:val="24"/>
          <w:szCs w:val="24"/>
        </w:rPr>
      </w:pPr>
    </w:p>
    <w:p w:rsidR="000812D9" w:rsidRDefault="000812D9">
      <w:pPr>
        <w:rPr>
          <w:rFonts w:ascii="Times New Roman" w:hAnsi="Times New Roman" w:cs="Times New Roman"/>
          <w:sz w:val="24"/>
          <w:szCs w:val="24"/>
        </w:rPr>
      </w:pPr>
      <w:r>
        <w:rPr>
          <w:rFonts w:ascii="Times New Roman" w:hAnsi="Times New Roman" w:cs="Times New Roman"/>
          <w:sz w:val="24"/>
          <w:szCs w:val="24"/>
        </w:rPr>
        <w:t>Die Feststellung der Etikettierungsschwemme</w:t>
      </w:r>
      <w:r w:rsidR="0040421B">
        <w:rPr>
          <w:rFonts w:ascii="Times New Roman" w:hAnsi="Times New Roman" w:cs="Times New Roman"/>
          <w:sz w:val="24"/>
          <w:szCs w:val="24"/>
        </w:rPr>
        <w:t xml:space="preserve"> ist eine Sache objektiver, wissenschaftlicher Recherchen, ihre Deutung und Erklärung eine Angelegenheit begründbarer und diskursbedürftiger Interpretationen. Wie ist die explosionsartige Vermehrung von </w:t>
      </w:r>
      <w:r w:rsidR="0040421B">
        <w:rPr>
          <w:rFonts w:ascii="Times New Roman" w:hAnsi="Times New Roman" w:cs="Times New Roman"/>
          <w:sz w:val="24"/>
          <w:szCs w:val="24"/>
        </w:rPr>
        <w:lastRenderedPageBreak/>
        <w:t>Inklusionsfällen, die wiederum nicht nur für Bayern, sondern für viele Bundesländer gilt, zu erklären? Ich biete vier Erklärungsversuche a</w:t>
      </w:r>
      <w:r w:rsidR="00046F68">
        <w:rPr>
          <w:rFonts w:ascii="Times New Roman" w:hAnsi="Times New Roman" w:cs="Times New Roman"/>
          <w:sz w:val="24"/>
          <w:szCs w:val="24"/>
        </w:rPr>
        <w:t>n (ausführlich in Wocken 2016):</w:t>
      </w:r>
    </w:p>
    <w:p w:rsidR="0040421B" w:rsidRDefault="0040421B">
      <w:pPr>
        <w:rPr>
          <w:rFonts w:ascii="Times New Roman" w:hAnsi="Times New Roman" w:cs="Times New Roman"/>
          <w:sz w:val="24"/>
          <w:szCs w:val="24"/>
        </w:rPr>
      </w:pPr>
    </w:p>
    <w:p w:rsidR="0040421B" w:rsidRPr="00046F68" w:rsidRDefault="0040421B">
      <w:pPr>
        <w:rPr>
          <w:rFonts w:ascii="Times New Roman" w:hAnsi="Times New Roman" w:cs="Times New Roman"/>
          <w:i/>
          <w:sz w:val="24"/>
          <w:szCs w:val="24"/>
        </w:rPr>
      </w:pPr>
      <w:r w:rsidRPr="00046F68">
        <w:rPr>
          <w:rFonts w:ascii="Times New Roman" w:hAnsi="Times New Roman" w:cs="Times New Roman"/>
          <w:i/>
          <w:sz w:val="24"/>
          <w:szCs w:val="24"/>
        </w:rPr>
        <w:t>1. Versagen der sonderpädagogischen Diagnostik</w:t>
      </w:r>
    </w:p>
    <w:p w:rsidR="0040421B" w:rsidRDefault="0040421B">
      <w:pPr>
        <w:rPr>
          <w:rFonts w:ascii="Times New Roman" w:hAnsi="Times New Roman" w:cs="Times New Roman"/>
          <w:sz w:val="24"/>
          <w:szCs w:val="24"/>
        </w:rPr>
      </w:pPr>
      <w:r>
        <w:rPr>
          <w:rFonts w:ascii="Times New Roman" w:hAnsi="Times New Roman" w:cs="Times New Roman"/>
          <w:sz w:val="24"/>
          <w:szCs w:val="24"/>
        </w:rPr>
        <w:t xml:space="preserve">Die Etikettierungsschwemme weist auf </w:t>
      </w:r>
      <w:r w:rsidR="0055394A">
        <w:rPr>
          <w:rFonts w:ascii="Times New Roman" w:hAnsi="Times New Roman" w:cs="Times New Roman"/>
          <w:sz w:val="24"/>
          <w:szCs w:val="24"/>
        </w:rPr>
        <w:t>ein krasses Versagen</w:t>
      </w:r>
      <w:r>
        <w:rPr>
          <w:rFonts w:ascii="Times New Roman" w:hAnsi="Times New Roman" w:cs="Times New Roman"/>
          <w:sz w:val="24"/>
          <w:szCs w:val="24"/>
        </w:rPr>
        <w:t xml:space="preserve"> der sonderpädagogischen Diagnostik hin. Die sonderpädagogische Diagnostik hat nicht sonderpädagogische Förderbedarfe</w:t>
      </w:r>
      <w:r w:rsidR="00E95DDC">
        <w:rPr>
          <w:rFonts w:ascii="Times New Roman" w:hAnsi="Times New Roman" w:cs="Times New Roman"/>
          <w:sz w:val="24"/>
          <w:szCs w:val="24"/>
        </w:rPr>
        <w:t xml:space="preserve"> mit wissenschaftlicher Objektivität und Unbestechlichkeit</w:t>
      </w:r>
      <w:r>
        <w:rPr>
          <w:rFonts w:ascii="Times New Roman" w:hAnsi="Times New Roman" w:cs="Times New Roman"/>
          <w:sz w:val="24"/>
          <w:szCs w:val="24"/>
        </w:rPr>
        <w:t xml:space="preserve"> festgestellt, sondern sie selbst produziert. Statt sich einzig und allein um die wissenschaftliche Belastbarkeit ihrer Befunde zu kümmern, hat sie </w:t>
      </w:r>
      <w:r w:rsidR="0013251A">
        <w:rPr>
          <w:rFonts w:ascii="Times New Roman" w:hAnsi="Times New Roman" w:cs="Times New Roman"/>
          <w:sz w:val="24"/>
          <w:szCs w:val="24"/>
        </w:rPr>
        <w:t>standes- und bildungspolitische Interessen bedient. Die sonderpädagogische Diagnostik hat das Interesse der Sonderschulen an ihrer Selbsterhaltung und das Interesse der allgemeinen Schulen an zusätzlichen Ressourcen für sonderpädagogische Förderbedarfe bedient. Das durch die Etikettierungsschwemme belegte schwerwiegende Versagen wird die sonderpädagogische Diagnostik mit erheblichen Zweifeln an ihrem Selbstverständnis als einer unabhängigen, objektiven, wissenschaftlichen Disziplin bezahlen müssen.</w:t>
      </w:r>
    </w:p>
    <w:p w:rsidR="0013251A" w:rsidRDefault="0013251A">
      <w:pPr>
        <w:rPr>
          <w:rFonts w:ascii="Times New Roman" w:hAnsi="Times New Roman" w:cs="Times New Roman"/>
          <w:sz w:val="24"/>
          <w:szCs w:val="24"/>
        </w:rPr>
      </w:pPr>
    </w:p>
    <w:p w:rsidR="0013251A" w:rsidRPr="00046F68" w:rsidRDefault="0013251A">
      <w:pPr>
        <w:rPr>
          <w:rFonts w:ascii="Times New Roman" w:hAnsi="Times New Roman" w:cs="Times New Roman"/>
          <w:i/>
          <w:sz w:val="24"/>
          <w:szCs w:val="24"/>
        </w:rPr>
      </w:pPr>
      <w:r w:rsidRPr="00046F68">
        <w:rPr>
          <w:rFonts w:ascii="Times New Roman" w:hAnsi="Times New Roman" w:cs="Times New Roman"/>
          <w:i/>
          <w:sz w:val="24"/>
          <w:szCs w:val="24"/>
        </w:rPr>
        <w:t>2. Inklusionsprogression als Exzellenzausweis</w:t>
      </w:r>
    </w:p>
    <w:p w:rsidR="0013251A" w:rsidRDefault="0013251A">
      <w:pPr>
        <w:rPr>
          <w:rFonts w:ascii="Times New Roman" w:hAnsi="Times New Roman" w:cs="Times New Roman"/>
          <w:sz w:val="24"/>
          <w:szCs w:val="24"/>
        </w:rPr>
      </w:pPr>
      <w:r>
        <w:rPr>
          <w:rFonts w:ascii="Times New Roman" w:hAnsi="Times New Roman" w:cs="Times New Roman"/>
          <w:sz w:val="24"/>
          <w:szCs w:val="24"/>
        </w:rPr>
        <w:t xml:space="preserve">Es ist mittlerweile in der Bildungspolitik, in den Schulverwaltungen und in den Schulen selbst angekommen, dass schulische Inklusion ein Gebot der Stunde und </w:t>
      </w:r>
      <w:r w:rsidR="0055394A">
        <w:rPr>
          <w:rFonts w:ascii="Times New Roman" w:hAnsi="Times New Roman" w:cs="Times New Roman"/>
          <w:sz w:val="24"/>
          <w:szCs w:val="24"/>
        </w:rPr>
        <w:t>eine unabweisbare Aufgabe</w:t>
      </w:r>
      <w:r>
        <w:rPr>
          <w:rFonts w:ascii="Times New Roman" w:hAnsi="Times New Roman" w:cs="Times New Roman"/>
          <w:sz w:val="24"/>
          <w:szCs w:val="24"/>
        </w:rPr>
        <w:t xml:space="preserve"> </w:t>
      </w:r>
      <w:r w:rsidR="006C6011">
        <w:rPr>
          <w:rFonts w:ascii="Times New Roman" w:hAnsi="Times New Roman" w:cs="Times New Roman"/>
          <w:sz w:val="24"/>
          <w:szCs w:val="24"/>
        </w:rPr>
        <w:t xml:space="preserve">ist. Für die öffentliche Demonstration, dass man dieser Inklusionspflicht </w:t>
      </w:r>
      <w:r w:rsidR="00523623">
        <w:rPr>
          <w:rFonts w:ascii="Times New Roman" w:hAnsi="Times New Roman" w:cs="Times New Roman"/>
          <w:sz w:val="24"/>
          <w:szCs w:val="24"/>
        </w:rPr>
        <w:t>auch wirklich nachkommt, ist der</w:t>
      </w:r>
      <w:r w:rsidR="006C6011">
        <w:rPr>
          <w:rFonts w:ascii="Times New Roman" w:hAnsi="Times New Roman" w:cs="Times New Roman"/>
          <w:sz w:val="24"/>
          <w:szCs w:val="24"/>
        </w:rPr>
        <w:t xml:space="preserve"> Nachweis möglichst vieler Inklusionsfälle erforderlich. Hohe Inklusionsquoten und eine staatliche Anzahl von Inklusionsfällen sind ein Ausweis von inklusionspädagogischer Exzellenz und fördern das Image von Kultusministerien, Bildungspolitik und Schulen.</w:t>
      </w:r>
    </w:p>
    <w:p w:rsidR="006C6011" w:rsidRDefault="006C6011">
      <w:pPr>
        <w:rPr>
          <w:rFonts w:ascii="Times New Roman" w:hAnsi="Times New Roman" w:cs="Times New Roman"/>
          <w:sz w:val="24"/>
          <w:szCs w:val="24"/>
        </w:rPr>
      </w:pPr>
    </w:p>
    <w:p w:rsidR="006C6011" w:rsidRPr="00046F68" w:rsidRDefault="006C6011">
      <w:pPr>
        <w:rPr>
          <w:rFonts w:ascii="Times New Roman" w:hAnsi="Times New Roman" w:cs="Times New Roman"/>
          <w:i/>
          <w:sz w:val="24"/>
          <w:szCs w:val="24"/>
        </w:rPr>
      </w:pPr>
      <w:r w:rsidRPr="00046F68">
        <w:rPr>
          <w:rFonts w:ascii="Times New Roman" w:hAnsi="Times New Roman" w:cs="Times New Roman"/>
          <w:i/>
          <w:sz w:val="24"/>
          <w:szCs w:val="24"/>
        </w:rPr>
        <w:t>3. Etikettierung ohne negative Folgen</w:t>
      </w:r>
    </w:p>
    <w:p w:rsidR="006C6011" w:rsidRDefault="006C6011">
      <w:pPr>
        <w:rPr>
          <w:rFonts w:ascii="Times New Roman" w:hAnsi="Times New Roman" w:cs="Times New Roman"/>
          <w:sz w:val="24"/>
          <w:szCs w:val="24"/>
        </w:rPr>
      </w:pPr>
      <w:r>
        <w:rPr>
          <w:rFonts w:ascii="Times New Roman" w:hAnsi="Times New Roman" w:cs="Times New Roman"/>
          <w:sz w:val="24"/>
          <w:szCs w:val="24"/>
        </w:rPr>
        <w:t xml:space="preserve">Die diagnostische Feststellung eines sonderpädagogischen Förderbedarfs war in vorinklusiven Zeiten bindend mit dem Zwang verknüpft, das „sonderschulbedürftige“ Kind in eine separierende Sonderschule einzuweisen. Weil seit der BRK eine </w:t>
      </w:r>
      <w:r w:rsidR="0055394A">
        <w:rPr>
          <w:rFonts w:ascii="Times New Roman" w:hAnsi="Times New Roman" w:cs="Times New Roman"/>
          <w:sz w:val="24"/>
          <w:szCs w:val="24"/>
        </w:rPr>
        <w:t>verbindliche Förderschulpflicht</w:t>
      </w:r>
      <w:r>
        <w:rPr>
          <w:rFonts w:ascii="Times New Roman" w:hAnsi="Times New Roman" w:cs="Times New Roman"/>
          <w:sz w:val="24"/>
          <w:szCs w:val="24"/>
        </w:rPr>
        <w:t xml:space="preserve"> konventionswidrig</w:t>
      </w:r>
      <w:r w:rsidR="00BC76EE">
        <w:rPr>
          <w:rFonts w:ascii="Times New Roman" w:hAnsi="Times New Roman" w:cs="Times New Roman"/>
          <w:sz w:val="24"/>
          <w:szCs w:val="24"/>
        </w:rPr>
        <w:t xml:space="preserve"> ist, hat die sonderpädagogische Diagnostik nun ihren Schrecken als Aussonderungsdiagnostik verloren. Die Feststellung eines sonderpädagogischen Förderbedarfs begründet, wie mittlerweile die Schulgesetze aller Bundesländer betonen, keine Pflicht zum Besuch einer Sonderschule. Eltern und Lehrer haben </w:t>
      </w:r>
      <w:r w:rsidR="00640CBD">
        <w:rPr>
          <w:rFonts w:ascii="Times New Roman" w:hAnsi="Times New Roman" w:cs="Times New Roman"/>
          <w:sz w:val="24"/>
          <w:szCs w:val="24"/>
        </w:rPr>
        <w:t xml:space="preserve">neuerlich </w:t>
      </w:r>
      <w:r w:rsidR="00C55361">
        <w:rPr>
          <w:rFonts w:ascii="Times New Roman" w:hAnsi="Times New Roman" w:cs="Times New Roman"/>
          <w:sz w:val="24"/>
          <w:szCs w:val="24"/>
        </w:rPr>
        <w:t>die entlastende Gewissheit</w:t>
      </w:r>
      <w:r w:rsidR="00BC76EE">
        <w:rPr>
          <w:rFonts w:ascii="Times New Roman" w:hAnsi="Times New Roman" w:cs="Times New Roman"/>
          <w:sz w:val="24"/>
          <w:szCs w:val="24"/>
        </w:rPr>
        <w:t xml:space="preserve">, dass mit der diagnostischen Zuschreibung eines Förderbedarfs nicht notwendigerweise eine </w:t>
      </w:r>
      <w:r w:rsidR="0055394A">
        <w:rPr>
          <w:rFonts w:ascii="Times New Roman" w:hAnsi="Times New Roman" w:cs="Times New Roman"/>
          <w:sz w:val="24"/>
          <w:szCs w:val="24"/>
        </w:rPr>
        <w:t>Aussonderung</w:t>
      </w:r>
      <w:r w:rsidR="00BC76EE">
        <w:rPr>
          <w:rFonts w:ascii="Times New Roman" w:hAnsi="Times New Roman" w:cs="Times New Roman"/>
          <w:sz w:val="24"/>
          <w:szCs w:val="24"/>
        </w:rPr>
        <w:t xml:space="preserve"> oder sonstige negative </w:t>
      </w:r>
      <w:r w:rsidR="0055394A">
        <w:rPr>
          <w:rFonts w:ascii="Times New Roman" w:hAnsi="Times New Roman" w:cs="Times New Roman"/>
          <w:sz w:val="24"/>
          <w:szCs w:val="24"/>
        </w:rPr>
        <w:t>Folgen verknüpft</w:t>
      </w:r>
      <w:r w:rsidR="003762B9">
        <w:rPr>
          <w:rFonts w:ascii="Times New Roman" w:hAnsi="Times New Roman" w:cs="Times New Roman"/>
          <w:sz w:val="24"/>
          <w:szCs w:val="24"/>
        </w:rPr>
        <w:t xml:space="preserve"> sind. Weil keine Sanktionen und</w:t>
      </w:r>
      <w:r w:rsidR="00BC76EE">
        <w:rPr>
          <w:rFonts w:ascii="Times New Roman" w:hAnsi="Times New Roman" w:cs="Times New Roman"/>
          <w:sz w:val="24"/>
          <w:szCs w:val="24"/>
        </w:rPr>
        <w:t xml:space="preserve"> keine negativen Folgen </w:t>
      </w:r>
      <w:r w:rsidR="00F3088D">
        <w:rPr>
          <w:rFonts w:ascii="Times New Roman" w:hAnsi="Times New Roman" w:cs="Times New Roman"/>
          <w:sz w:val="24"/>
          <w:szCs w:val="24"/>
        </w:rPr>
        <w:t xml:space="preserve">mehr </w:t>
      </w:r>
      <w:r w:rsidR="00BC76EE">
        <w:rPr>
          <w:rFonts w:ascii="Times New Roman" w:hAnsi="Times New Roman" w:cs="Times New Roman"/>
          <w:sz w:val="24"/>
          <w:szCs w:val="24"/>
        </w:rPr>
        <w:t xml:space="preserve">drohen, entfallen </w:t>
      </w:r>
      <w:r w:rsidR="00E95DDC">
        <w:rPr>
          <w:rFonts w:ascii="Times New Roman" w:hAnsi="Times New Roman" w:cs="Times New Roman"/>
          <w:sz w:val="24"/>
          <w:szCs w:val="24"/>
        </w:rPr>
        <w:t xml:space="preserve">quälende </w:t>
      </w:r>
      <w:r w:rsidR="00BC76EE">
        <w:rPr>
          <w:rFonts w:ascii="Times New Roman" w:hAnsi="Times New Roman" w:cs="Times New Roman"/>
          <w:sz w:val="24"/>
          <w:szCs w:val="24"/>
        </w:rPr>
        <w:t xml:space="preserve">Gewissensbisse und </w:t>
      </w:r>
      <w:r w:rsidR="00F3088D">
        <w:rPr>
          <w:rFonts w:ascii="Times New Roman" w:hAnsi="Times New Roman" w:cs="Times New Roman"/>
          <w:sz w:val="24"/>
          <w:szCs w:val="24"/>
        </w:rPr>
        <w:t xml:space="preserve">alle </w:t>
      </w:r>
      <w:r w:rsidR="00BC76EE">
        <w:rPr>
          <w:rFonts w:ascii="Times New Roman" w:hAnsi="Times New Roman" w:cs="Times New Roman"/>
          <w:sz w:val="24"/>
          <w:szCs w:val="24"/>
        </w:rPr>
        <w:t>Hemmungen.</w:t>
      </w:r>
    </w:p>
    <w:p w:rsidR="00BC76EE" w:rsidRDefault="00BC76EE">
      <w:pPr>
        <w:rPr>
          <w:rFonts w:ascii="Times New Roman" w:hAnsi="Times New Roman" w:cs="Times New Roman"/>
          <w:sz w:val="24"/>
          <w:szCs w:val="24"/>
        </w:rPr>
      </w:pPr>
    </w:p>
    <w:p w:rsidR="00BC76EE" w:rsidRPr="00046F68" w:rsidRDefault="00BC76EE">
      <w:pPr>
        <w:rPr>
          <w:rFonts w:ascii="Times New Roman" w:hAnsi="Times New Roman" w:cs="Times New Roman"/>
          <w:i/>
          <w:sz w:val="24"/>
          <w:szCs w:val="24"/>
        </w:rPr>
      </w:pPr>
      <w:r w:rsidRPr="00046F68">
        <w:rPr>
          <w:rFonts w:ascii="Times New Roman" w:hAnsi="Times New Roman" w:cs="Times New Roman"/>
          <w:i/>
          <w:sz w:val="24"/>
          <w:szCs w:val="24"/>
        </w:rPr>
        <w:t>4. Etikette begründen Ressourcenansprüche</w:t>
      </w:r>
      <w:r w:rsidR="00E95DDC">
        <w:rPr>
          <w:rFonts w:ascii="Times New Roman" w:hAnsi="Times New Roman" w:cs="Times New Roman"/>
          <w:i/>
          <w:sz w:val="24"/>
          <w:szCs w:val="24"/>
        </w:rPr>
        <w:t xml:space="preserve">  </w:t>
      </w:r>
    </w:p>
    <w:p w:rsidR="00BC76EE" w:rsidRDefault="00BC76EE">
      <w:pPr>
        <w:rPr>
          <w:rFonts w:ascii="Times New Roman" w:hAnsi="Times New Roman" w:cs="Times New Roman"/>
          <w:sz w:val="24"/>
          <w:szCs w:val="24"/>
        </w:rPr>
      </w:pPr>
      <w:r>
        <w:rPr>
          <w:rFonts w:ascii="Times New Roman" w:hAnsi="Times New Roman" w:cs="Times New Roman"/>
          <w:sz w:val="24"/>
          <w:szCs w:val="24"/>
        </w:rPr>
        <w:t>Statt negativer Folgen ist die Zuschreibung eines sonderpädagogischen Förderbedarfs nun vielfach mit positiven Folge</w:t>
      </w:r>
      <w:r w:rsidR="0078570E">
        <w:rPr>
          <w:rFonts w:ascii="Times New Roman" w:hAnsi="Times New Roman" w:cs="Times New Roman"/>
          <w:sz w:val="24"/>
          <w:szCs w:val="24"/>
        </w:rPr>
        <w:t>n, nämlich mit der Erwartung von</w:t>
      </w:r>
      <w:r>
        <w:rPr>
          <w:rFonts w:ascii="Times New Roman" w:hAnsi="Times New Roman" w:cs="Times New Roman"/>
          <w:sz w:val="24"/>
          <w:szCs w:val="24"/>
        </w:rPr>
        <w:t xml:space="preserve"> zusätzliche</w:t>
      </w:r>
      <w:r w:rsidR="0078570E">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sonder</w:t>
      </w:r>
      <w:proofErr w:type="spellEnd"/>
      <w:r>
        <w:rPr>
          <w:rFonts w:ascii="Times New Roman" w:hAnsi="Times New Roman" w:cs="Times New Roman"/>
          <w:sz w:val="24"/>
          <w:szCs w:val="24"/>
        </w:rPr>
        <w:t>)pädagogische</w:t>
      </w:r>
      <w:r w:rsidR="0078570E">
        <w:rPr>
          <w:rFonts w:ascii="Times New Roman" w:hAnsi="Times New Roman" w:cs="Times New Roman"/>
          <w:sz w:val="24"/>
          <w:szCs w:val="24"/>
        </w:rPr>
        <w:t>n</w:t>
      </w:r>
      <w:r>
        <w:rPr>
          <w:rFonts w:ascii="Times New Roman" w:hAnsi="Times New Roman" w:cs="Times New Roman"/>
          <w:sz w:val="24"/>
          <w:szCs w:val="24"/>
        </w:rPr>
        <w:t xml:space="preserve"> F</w:t>
      </w:r>
      <w:r w:rsidR="0055394A">
        <w:rPr>
          <w:rFonts w:ascii="Times New Roman" w:hAnsi="Times New Roman" w:cs="Times New Roman"/>
          <w:sz w:val="24"/>
          <w:szCs w:val="24"/>
        </w:rPr>
        <w:t>örderressourcen verbunden. Das Ressourcen-Etikettierungs-Dilemma will es so: Wer zusä</w:t>
      </w:r>
      <w:r w:rsidR="00B17FF1">
        <w:rPr>
          <w:rFonts w:ascii="Times New Roman" w:hAnsi="Times New Roman" w:cs="Times New Roman"/>
          <w:sz w:val="24"/>
          <w:szCs w:val="24"/>
        </w:rPr>
        <w:t>tzliche materielle</w:t>
      </w:r>
      <w:r w:rsidR="0055394A">
        <w:rPr>
          <w:rFonts w:ascii="Times New Roman" w:hAnsi="Times New Roman" w:cs="Times New Roman"/>
          <w:sz w:val="24"/>
          <w:szCs w:val="24"/>
        </w:rPr>
        <w:t xml:space="preserve"> </w:t>
      </w:r>
      <w:r w:rsidR="00B17FF1">
        <w:rPr>
          <w:rFonts w:ascii="Times New Roman" w:hAnsi="Times New Roman" w:cs="Times New Roman"/>
          <w:sz w:val="24"/>
          <w:szCs w:val="24"/>
        </w:rPr>
        <w:t>und</w:t>
      </w:r>
      <w:r w:rsidR="0055394A">
        <w:rPr>
          <w:rFonts w:ascii="Times New Roman" w:hAnsi="Times New Roman" w:cs="Times New Roman"/>
          <w:sz w:val="24"/>
          <w:szCs w:val="24"/>
        </w:rPr>
        <w:t xml:space="preserve"> personelle Förderressourcen </w:t>
      </w:r>
      <w:r w:rsidR="00F3088D">
        <w:rPr>
          <w:rFonts w:ascii="Times New Roman" w:hAnsi="Times New Roman" w:cs="Times New Roman"/>
          <w:sz w:val="24"/>
          <w:szCs w:val="24"/>
        </w:rPr>
        <w:t xml:space="preserve">oder </w:t>
      </w:r>
      <w:r w:rsidR="00B17FF1">
        <w:rPr>
          <w:rFonts w:ascii="Times New Roman" w:hAnsi="Times New Roman" w:cs="Times New Roman"/>
          <w:sz w:val="24"/>
          <w:szCs w:val="24"/>
        </w:rPr>
        <w:t>besondere pädagogische Förder</w:t>
      </w:r>
      <w:r w:rsidR="00F3088D">
        <w:rPr>
          <w:rFonts w:ascii="Times New Roman" w:hAnsi="Times New Roman" w:cs="Times New Roman"/>
          <w:sz w:val="24"/>
          <w:szCs w:val="24"/>
        </w:rPr>
        <w:t xml:space="preserve">bedingungen </w:t>
      </w:r>
      <w:r w:rsidR="00B17FF1">
        <w:rPr>
          <w:rFonts w:ascii="Times New Roman" w:hAnsi="Times New Roman" w:cs="Times New Roman"/>
          <w:sz w:val="24"/>
          <w:szCs w:val="24"/>
        </w:rPr>
        <w:t>(Nachteilsausgleich u.a.)</w:t>
      </w:r>
      <w:r w:rsidR="00F3088D">
        <w:rPr>
          <w:rFonts w:ascii="Times New Roman" w:hAnsi="Times New Roman" w:cs="Times New Roman"/>
          <w:sz w:val="24"/>
          <w:szCs w:val="24"/>
        </w:rPr>
        <w:t xml:space="preserve"> </w:t>
      </w:r>
      <w:r w:rsidR="0055394A">
        <w:rPr>
          <w:rFonts w:ascii="Times New Roman" w:hAnsi="Times New Roman" w:cs="Times New Roman"/>
          <w:sz w:val="24"/>
          <w:szCs w:val="24"/>
        </w:rPr>
        <w:t>beanspruchen will, muss als Berechtigungsnachweis ein formelles Bedarfsetikett vorlegen können.</w:t>
      </w:r>
      <w:r w:rsidR="00523623">
        <w:rPr>
          <w:rFonts w:ascii="Times New Roman" w:hAnsi="Times New Roman" w:cs="Times New Roman"/>
          <w:sz w:val="24"/>
          <w:szCs w:val="24"/>
        </w:rPr>
        <w:t xml:space="preserve"> Die sonderpädagogische Diagnostik hat ohne wissenschaftliche Skrupel die Funktion einer Ressourcenbeschaffungsdiagnostik übernommen.</w:t>
      </w:r>
    </w:p>
    <w:p w:rsidR="00014EFA" w:rsidRDefault="00014EFA">
      <w:pPr>
        <w:rPr>
          <w:rFonts w:ascii="Times New Roman" w:hAnsi="Times New Roman" w:cs="Times New Roman"/>
          <w:b/>
          <w:sz w:val="24"/>
          <w:szCs w:val="24"/>
        </w:rPr>
      </w:pPr>
    </w:p>
    <w:p w:rsidR="00A34D91" w:rsidRDefault="00A34D91">
      <w:pPr>
        <w:rPr>
          <w:rFonts w:ascii="Times New Roman" w:hAnsi="Times New Roman" w:cs="Times New Roman"/>
          <w:b/>
          <w:sz w:val="24"/>
          <w:szCs w:val="24"/>
        </w:rPr>
      </w:pPr>
      <w:r>
        <w:rPr>
          <w:rFonts w:ascii="Times New Roman" w:hAnsi="Times New Roman" w:cs="Times New Roman"/>
          <w:b/>
          <w:sz w:val="24"/>
          <w:szCs w:val="24"/>
        </w:rPr>
        <w:br w:type="page"/>
      </w:r>
    </w:p>
    <w:p w:rsidR="00046F68" w:rsidRPr="00046F68" w:rsidRDefault="00AB37F4">
      <w:pP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046F68" w:rsidRPr="00046F68">
        <w:rPr>
          <w:rFonts w:ascii="Times New Roman" w:hAnsi="Times New Roman" w:cs="Times New Roman"/>
          <w:b/>
          <w:sz w:val="24"/>
          <w:szCs w:val="24"/>
        </w:rPr>
        <w:t>Bewertung</w:t>
      </w:r>
      <w:r>
        <w:rPr>
          <w:rFonts w:ascii="Times New Roman" w:hAnsi="Times New Roman" w:cs="Times New Roman"/>
          <w:b/>
          <w:sz w:val="24"/>
          <w:szCs w:val="24"/>
        </w:rPr>
        <w:t>en</w:t>
      </w:r>
    </w:p>
    <w:p w:rsidR="00046F68" w:rsidRDefault="00046F68">
      <w:pPr>
        <w:rPr>
          <w:rFonts w:ascii="Times New Roman" w:hAnsi="Times New Roman" w:cs="Times New Roman"/>
          <w:sz w:val="24"/>
          <w:szCs w:val="24"/>
        </w:rPr>
      </w:pPr>
    </w:p>
    <w:p w:rsidR="00F55A6E" w:rsidRDefault="00886EB5">
      <w:pPr>
        <w:rPr>
          <w:rFonts w:ascii="Times New Roman" w:hAnsi="Times New Roman" w:cs="Times New Roman"/>
          <w:sz w:val="24"/>
          <w:szCs w:val="24"/>
        </w:rPr>
      </w:pPr>
      <w:r>
        <w:rPr>
          <w:rFonts w:ascii="Times New Roman" w:hAnsi="Times New Roman" w:cs="Times New Roman"/>
          <w:sz w:val="24"/>
          <w:szCs w:val="24"/>
        </w:rPr>
        <w:t xml:space="preserve">Die Bilanz der Inklusionsreform in Bayern (und manchen anderen) Bundesländern ist </w:t>
      </w:r>
      <w:r w:rsidR="00640CBD">
        <w:rPr>
          <w:rFonts w:ascii="Times New Roman" w:hAnsi="Times New Roman" w:cs="Times New Roman"/>
          <w:sz w:val="24"/>
          <w:szCs w:val="24"/>
        </w:rPr>
        <w:t>– aus meiner Sicht – d</w:t>
      </w:r>
      <w:r>
        <w:rPr>
          <w:rFonts w:ascii="Times New Roman" w:hAnsi="Times New Roman" w:cs="Times New Roman"/>
          <w:sz w:val="24"/>
          <w:szCs w:val="24"/>
        </w:rPr>
        <w:t>e</w:t>
      </w:r>
      <w:r w:rsidR="00DF6C15">
        <w:rPr>
          <w:rFonts w:ascii="Times New Roman" w:hAnsi="Times New Roman" w:cs="Times New Roman"/>
          <w:sz w:val="24"/>
          <w:szCs w:val="24"/>
        </w:rPr>
        <w:t>saströs. Die zentralen Indikatoren</w:t>
      </w:r>
      <w:r>
        <w:rPr>
          <w:rFonts w:ascii="Times New Roman" w:hAnsi="Times New Roman" w:cs="Times New Roman"/>
          <w:sz w:val="24"/>
          <w:szCs w:val="24"/>
        </w:rPr>
        <w:t xml:space="preserve"> für die Negativbilanz sind der Separationsstillstand und die Etikettierungsschwemme. Wer große Hoffnungen in die Behindertenrechtskonvention gesetzt hat, muss angesichts der höchst unbefriedigenden Ergebnislage zutiefst enttäuscht sein. Es ist an der Zeit, die </w:t>
      </w:r>
      <w:r w:rsidR="00F55A6E">
        <w:rPr>
          <w:rFonts w:ascii="Times New Roman" w:hAnsi="Times New Roman" w:cs="Times New Roman"/>
          <w:sz w:val="24"/>
          <w:szCs w:val="24"/>
        </w:rPr>
        <w:t>zivile und wissenschaftliche Contenance ab</w:t>
      </w:r>
      <w:r w:rsidR="00C55361">
        <w:rPr>
          <w:rFonts w:ascii="Times New Roman" w:hAnsi="Times New Roman" w:cs="Times New Roman"/>
          <w:sz w:val="24"/>
          <w:szCs w:val="24"/>
        </w:rPr>
        <w:t>zu</w:t>
      </w:r>
      <w:r w:rsidR="00F55A6E">
        <w:rPr>
          <w:rFonts w:ascii="Times New Roman" w:hAnsi="Times New Roman" w:cs="Times New Roman"/>
          <w:sz w:val="24"/>
          <w:szCs w:val="24"/>
        </w:rPr>
        <w:t>legen</w:t>
      </w:r>
      <w:r>
        <w:rPr>
          <w:rFonts w:ascii="Times New Roman" w:hAnsi="Times New Roman" w:cs="Times New Roman"/>
          <w:sz w:val="24"/>
          <w:szCs w:val="24"/>
        </w:rPr>
        <w:t xml:space="preserve"> und dem gerechten Zorn Ausdruck zu verleihen.</w:t>
      </w:r>
    </w:p>
    <w:p w:rsidR="00F55A6E" w:rsidRDefault="00F55A6E">
      <w:pPr>
        <w:rPr>
          <w:rFonts w:ascii="Times New Roman" w:hAnsi="Times New Roman" w:cs="Times New Roman"/>
          <w:sz w:val="24"/>
          <w:szCs w:val="24"/>
        </w:rPr>
      </w:pPr>
    </w:p>
    <w:p w:rsidR="00C327B2" w:rsidRDefault="00F55A6E">
      <w:pPr>
        <w:rPr>
          <w:rFonts w:ascii="Times New Roman" w:hAnsi="Times New Roman" w:cs="Times New Roman"/>
          <w:i/>
          <w:sz w:val="24"/>
          <w:szCs w:val="24"/>
        </w:rPr>
      </w:pPr>
      <w:r w:rsidRPr="00C327B2">
        <w:rPr>
          <w:rFonts w:ascii="Times New Roman" w:hAnsi="Times New Roman" w:cs="Times New Roman"/>
          <w:i/>
          <w:sz w:val="24"/>
          <w:szCs w:val="24"/>
        </w:rPr>
        <w:t xml:space="preserve">1. </w:t>
      </w:r>
      <w:r w:rsidR="00C327B2" w:rsidRPr="00C327B2">
        <w:rPr>
          <w:rFonts w:ascii="Times New Roman" w:hAnsi="Times New Roman" w:cs="Times New Roman"/>
          <w:i/>
          <w:sz w:val="24"/>
          <w:szCs w:val="24"/>
        </w:rPr>
        <w:t>Separationsstillstand</w:t>
      </w:r>
    </w:p>
    <w:p w:rsidR="00F55A6E" w:rsidRDefault="009A36A5">
      <w:pPr>
        <w:rPr>
          <w:rFonts w:ascii="Times New Roman" w:hAnsi="Times New Roman" w:cs="Times New Roman"/>
          <w:sz w:val="24"/>
          <w:szCs w:val="24"/>
        </w:rPr>
      </w:pPr>
      <w:r w:rsidRPr="009A36A5">
        <w:rPr>
          <w:rFonts w:ascii="Times New Roman" w:hAnsi="Times New Roman" w:cs="Times New Roman"/>
          <w:sz w:val="24"/>
          <w:szCs w:val="24"/>
        </w:rPr>
        <w:t xml:space="preserve">Ein </w:t>
      </w:r>
      <w:r w:rsidR="004436A5">
        <w:rPr>
          <w:rFonts w:ascii="Times New Roman" w:hAnsi="Times New Roman" w:cs="Times New Roman"/>
          <w:sz w:val="24"/>
          <w:szCs w:val="24"/>
        </w:rPr>
        <w:t>prioritäres Indiz</w:t>
      </w:r>
      <w:r>
        <w:rPr>
          <w:rFonts w:ascii="Times New Roman" w:hAnsi="Times New Roman" w:cs="Times New Roman"/>
          <w:sz w:val="24"/>
          <w:szCs w:val="24"/>
        </w:rPr>
        <w:t xml:space="preserve"> für den Aufbau </w:t>
      </w:r>
      <w:r w:rsidR="00345378">
        <w:rPr>
          <w:rFonts w:ascii="Times New Roman" w:hAnsi="Times New Roman" w:cs="Times New Roman"/>
          <w:sz w:val="24"/>
          <w:szCs w:val="24"/>
        </w:rPr>
        <w:t>eines inklusiven Bildungswesens</w:t>
      </w:r>
      <w:r>
        <w:rPr>
          <w:rFonts w:ascii="Times New Roman" w:hAnsi="Times New Roman" w:cs="Times New Roman"/>
          <w:sz w:val="24"/>
          <w:szCs w:val="24"/>
        </w:rPr>
        <w:t xml:space="preserve"> ist eine sukzessive Minimierung der Separ</w:t>
      </w:r>
      <w:r w:rsidR="004436A5">
        <w:rPr>
          <w:rFonts w:ascii="Times New Roman" w:hAnsi="Times New Roman" w:cs="Times New Roman"/>
          <w:sz w:val="24"/>
          <w:szCs w:val="24"/>
        </w:rPr>
        <w:t>ation – dies gilt es nachdrücklich zu bekräftigen.</w:t>
      </w:r>
      <w:r>
        <w:rPr>
          <w:rFonts w:ascii="Times New Roman" w:hAnsi="Times New Roman" w:cs="Times New Roman"/>
          <w:sz w:val="24"/>
          <w:szCs w:val="24"/>
        </w:rPr>
        <w:t xml:space="preserve"> Die Inklusionsreform </w:t>
      </w:r>
      <w:r w:rsidR="00F70E73">
        <w:rPr>
          <w:rFonts w:ascii="Times New Roman" w:hAnsi="Times New Roman" w:cs="Times New Roman"/>
          <w:sz w:val="24"/>
          <w:szCs w:val="24"/>
        </w:rPr>
        <w:t xml:space="preserve">in Bayern (und in anderen Bundesländern) </w:t>
      </w:r>
      <w:r>
        <w:rPr>
          <w:rFonts w:ascii="Times New Roman" w:hAnsi="Times New Roman" w:cs="Times New Roman"/>
          <w:sz w:val="24"/>
          <w:szCs w:val="24"/>
        </w:rPr>
        <w:t>hat es in acht Jahren nicht geschafft, diese</w:t>
      </w:r>
      <w:r w:rsidR="004436A5">
        <w:rPr>
          <w:rFonts w:ascii="Times New Roman" w:hAnsi="Times New Roman" w:cs="Times New Roman"/>
          <w:sz w:val="24"/>
          <w:szCs w:val="24"/>
        </w:rPr>
        <w:t>s</w:t>
      </w:r>
      <w:r>
        <w:rPr>
          <w:rFonts w:ascii="Times New Roman" w:hAnsi="Times New Roman" w:cs="Times New Roman"/>
          <w:sz w:val="24"/>
          <w:szCs w:val="24"/>
        </w:rPr>
        <w:t xml:space="preserve"> nicht unterschreitbare M</w:t>
      </w:r>
      <w:r w:rsidR="004436A5">
        <w:rPr>
          <w:rFonts w:ascii="Times New Roman" w:hAnsi="Times New Roman" w:cs="Times New Roman"/>
          <w:sz w:val="24"/>
          <w:szCs w:val="24"/>
        </w:rPr>
        <w:t>ini</w:t>
      </w:r>
      <w:r>
        <w:rPr>
          <w:rFonts w:ascii="Times New Roman" w:hAnsi="Times New Roman" w:cs="Times New Roman"/>
          <w:sz w:val="24"/>
          <w:szCs w:val="24"/>
        </w:rPr>
        <w:t>malkriterium auch nur in geringfügigen Ansätzen zu erfüllen. Der Separationsstillstand ist ein</w:t>
      </w:r>
      <w:r w:rsidR="00F55A6E">
        <w:rPr>
          <w:rFonts w:ascii="Times New Roman" w:hAnsi="Times New Roman" w:cs="Times New Roman"/>
          <w:sz w:val="24"/>
          <w:szCs w:val="24"/>
        </w:rPr>
        <w:t xml:space="preserve"> </w:t>
      </w:r>
      <w:r w:rsidR="004436A5">
        <w:rPr>
          <w:rFonts w:ascii="Times New Roman" w:hAnsi="Times New Roman" w:cs="Times New Roman"/>
          <w:sz w:val="24"/>
          <w:szCs w:val="24"/>
        </w:rPr>
        <w:t xml:space="preserve">Indiz für ein </w:t>
      </w:r>
      <w:r w:rsidR="00F55A6E">
        <w:rPr>
          <w:rFonts w:ascii="Times New Roman" w:hAnsi="Times New Roman" w:cs="Times New Roman"/>
          <w:sz w:val="24"/>
          <w:szCs w:val="24"/>
        </w:rPr>
        <w:t>gebrochenes Versprechen</w:t>
      </w:r>
      <w:r w:rsidR="00AD3660">
        <w:rPr>
          <w:rFonts w:ascii="Times New Roman" w:hAnsi="Times New Roman" w:cs="Times New Roman"/>
          <w:sz w:val="24"/>
          <w:szCs w:val="24"/>
        </w:rPr>
        <w:t xml:space="preserve">, das die Inklusionspolitik </w:t>
      </w:r>
      <w:r>
        <w:rPr>
          <w:rFonts w:ascii="Times New Roman" w:hAnsi="Times New Roman" w:cs="Times New Roman"/>
          <w:sz w:val="24"/>
          <w:szCs w:val="24"/>
        </w:rPr>
        <w:t>der Behindertenrechtskonvention</w:t>
      </w:r>
      <w:r w:rsidR="00AD3660">
        <w:rPr>
          <w:rFonts w:ascii="Times New Roman" w:hAnsi="Times New Roman" w:cs="Times New Roman"/>
          <w:sz w:val="24"/>
          <w:szCs w:val="24"/>
        </w:rPr>
        <w:t xml:space="preserve"> mit völkerrechtlicher Verbindlichkeit gegeben hat</w:t>
      </w:r>
      <w:r>
        <w:rPr>
          <w:rFonts w:ascii="Times New Roman" w:hAnsi="Times New Roman" w:cs="Times New Roman"/>
          <w:sz w:val="24"/>
          <w:szCs w:val="24"/>
        </w:rPr>
        <w:t>. D</w:t>
      </w:r>
      <w:r w:rsidR="00F55A6E">
        <w:rPr>
          <w:rFonts w:ascii="Times New Roman" w:hAnsi="Times New Roman" w:cs="Times New Roman"/>
          <w:sz w:val="24"/>
          <w:szCs w:val="24"/>
        </w:rPr>
        <w:t xml:space="preserve">ie </w:t>
      </w:r>
      <w:r>
        <w:rPr>
          <w:rFonts w:ascii="Times New Roman" w:hAnsi="Times New Roman" w:cs="Times New Roman"/>
          <w:sz w:val="24"/>
          <w:szCs w:val="24"/>
        </w:rPr>
        <w:t>S</w:t>
      </w:r>
      <w:r w:rsidR="004436A5">
        <w:rPr>
          <w:rFonts w:ascii="Times New Roman" w:hAnsi="Times New Roman" w:cs="Times New Roman"/>
          <w:sz w:val="24"/>
          <w:szCs w:val="24"/>
        </w:rPr>
        <w:t xml:space="preserve">chwächsten der </w:t>
      </w:r>
      <w:r w:rsidR="00345378">
        <w:rPr>
          <w:rFonts w:ascii="Times New Roman" w:hAnsi="Times New Roman" w:cs="Times New Roman"/>
          <w:sz w:val="24"/>
          <w:szCs w:val="24"/>
        </w:rPr>
        <w:t>Schwachen werden</w:t>
      </w:r>
      <w:r w:rsidR="00F55A6E">
        <w:rPr>
          <w:rFonts w:ascii="Times New Roman" w:hAnsi="Times New Roman" w:cs="Times New Roman"/>
          <w:sz w:val="24"/>
          <w:szCs w:val="24"/>
        </w:rPr>
        <w:t xml:space="preserve"> in den Sonderschulen zurückgelassen</w:t>
      </w:r>
      <w:r w:rsidR="00AD3660">
        <w:rPr>
          <w:rFonts w:ascii="Times New Roman" w:hAnsi="Times New Roman" w:cs="Times New Roman"/>
          <w:sz w:val="24"/>
          <w:szCs w:val="24"/>
        </w:rPr>
        <w:t>. Die Inklusionsr</w:t>
      </w:r>
      <w:r>
        <w:rPr>
          <w:rFonts w:ascii="Times New Roman" w:hAnsi="Times New Roman" w:cs="Times New Roman"/>
          <w:sz w:val="24"/>
          <w:szCs w:val="24"/>
        </w:rPr>
        <w:t>eform geht an den wirk</w:t>
      </w:r>
      <w:r w:rsidR="009A0BBA">
        <w:rPr>
          <w:rFonts w:ascii="Times New Roman" w:hAnsi="Times New Roman" w:cs="Times New Roman"/>
          <w:sz w:val="24"/>
          <w:szCs w:val="24"/>
        </w:rPr>
        <w:t>lich Behinderten achtlos vorbei.</w:t>
      </w:r>
      <w:r>
        <w:rPr>
          <w:rFonts w:ascii="Times New Roman" w:hAnsi="Times New Roman" w:cs="Times New Roman"/>
          <w:sz w:val="24"/>
          <w:szCs w:val="24"/>
        </w:rPr>
        <w:t xml:space="preserve"> Inklusion </w:t>
      </w:r>
      <w:r w:rsidR="00F70E73">
        <w:rPr>
          <w:rFonts w:ascii="Times New Roman" w:hAnsi="Times New Roman" w:cs="Times New Roman"/>
          <w:sz w:val="24"/>
          <w:szCs w:val="24"/>
        </w:rPr>
        <w:t xml:space="preserve">in Bayern ist eine Inklusion </w:t>
      </w:r>
      <w:r w:rsidR="009A0BBA">
        <w:rPr>
          <w:rFonts w:ascii="Times New Roman" w:hAnsi="Times New Roman" w:cs="Times New Roman"/>
          <w:sz w:val="24"/>
          <w:szCs w:val="24"/>
        </w:rPr>
        <w:t>ohne Behinderte!</w:t>
      </w:r>
    </w:p>
    <w:p w:rsidR="0078570E" w:rsidRDefault="0078570E">
      <w:pPr>
        <w:rPr>
          <w:rFonts w:ascii="Times New Roman" w:hAnsi="Times New Roman" w:cs="Times New Roman"/>
          <w:sz w:val="24"/>
          <w:szCs w:val="24"/>
        </w:rPr>
      </w:pPr>
    </w:p>
    <w:p w:rsidR="0078570E" w:rsidRPr="0078570E" w:rsidRDefault="0078570E" w:rsidP="0078570E">
      <w:pPr>
        <w:pStyle w:val="Default"/>
        <w:rPr>
          <w:rFonts w:ascii="Times New Roman" w:hAnsi="Times New Roman" w:cs="Times New Roman"/>
          <w:color w:val="auto"/>
        </w:rPr>
      </w:pPr>
      <w:r w:rsidRPr="0078570E">
        <w:rPr>
          <w:rFonts w:ascii="Times New Roman" w:hAnsi="Times New Roman" w:cs="Times New Roman"/>
          <w:color w:val="auto"/>
        </w:rPr>
        <w:t xml:space="preserve">Mit einiger Bitternis darf man wohl eine geläufige Redensart abwandeln und sagen: Alle reden von Inklusion, aber die Behinderten haben nichts davon! Ich sage wohlüberlegt, mit voller Überzeugung und mit einem zornigen Aufschrei: Die Schüler*innen mit Behinderungen werden von der Inklusionsreform in Bayern um ihre Inklusion betrogen! Wer wirklich die Interessen von Schüler*innen mit Behinderungen zu vertreten beansprucht, wird kaum umhinkönnen, den totalen Separationsstillstand seit 2008/09 als ein Reformdesaster zu bewerten. Wenn Deutschland bei den PISA-Untersuchungen allenthalben im Mittelfeld landet, geraten wir in Panik. Wenn Deutschland aber bei der Umsetzung der Behindertenrechtskonvention eine völkerrechtswidrige Bilanz vorlegt, regt sich niemand auf. </w:t>
      </w:r>
      <w:r w:rsidR="009A0BBA">
        <w:rPr>
          <w:rFonts w:ascii="Times New Roman" w:hAnsi="Times New Roman" w:cs="Times New Roman"/>
          <w:color w:val="auto"/>
        </w:rPr>
        <w:t xml:space="preserve">Wir sorgen uns vornehmlich um den Platz auf den Rankinglisten, um die Exzellenz der Guten, weniger indes um den „Bildungskeller“ des Bildungssystems. </w:t>
      </w:r>
      <w:r w:rsidRPr="0078570E">
        <w:rPr>
          <w:rFonts w:ascii="Times New Roman" w:hAnsi="Times New Roman" w:cs="Times New Roman"/>
          <w:color w:val="auto"/>
        </w:rPr>
        <w:t>Das ist die traurige Wahrheit der vorgeblich proinklusiven Haltun</w:t>
      </w:r>
      <w:r>
        <w:rPr>
          <w:rFonts w:ascii="Times New Roman" w:hAnsi="Times New Roman" w:cs="Times New Roman"/>
          <w:color w:val="auto"/>
        </w:rPr>
        <w:t>g der Bildungspolitik</w:t>
      </w:r>
      <w:r w:rsidRPr="0078570E">
        <w:rPr>
          <w:rFonts w:ascii="Times New Roman" w:hAnsi="Times New Roman" w:cs="Times New Roman"/>
          <w:color w:val="auto"/>
        </w:rPr>
        <w:t>!</w:t>
      </w:r>
    </w:p>
    <w:p w:rsidR="0078570E" w:rsidRDefault="0078570E">
      <w:pPr>
        <w:rPr>
          <w:rFonts w:ascii="Times New Roman" w:hAnsi="Times New Roman" w:cs="Times New Roman"/>
          <w:sz w:val="24"/>
          <w:szCs w:val="24"/>
        </w:rPr>
      </w:pPr>
    </w:p>
    <w:p w:rsidR="00F55A6E" w:rsidRPr="00C327B2" w:rsidRDefault="00F55A6E">
      <w:pPr>
        <w:rPr>
          <w:rFonts w:ascii="Times New Roman" w:hAnsi="Times New Roman" w:cs="Times New Roman"/>
          <w:i/>
          <w:sz w:val="24"/>
          <w:szCs w:val="24"/>
        </w:rPr>
      </w:pPr>
      <w:r w:rsidRPr="00C327B2">
        <w:rPr>
          <w:rFonts w:ascii="Times New Roman" w:hAnsi="Times New Roman" w:cs="Times New Roman"/>
          <w:i/>
          <w:sz w:val="24"/>
          <w:szCs w:val="24"/>
        </w:rPr>
        <w:t>2. Etikettierungsschwemme</w:t>
      </w:r>
    </w:p>
    <w:p w:rsidR="006003FA" w:rsidRDefault="00567051">
      <w:pPr>
        <w:rPr>
          <w:rFonts w:ascii="Times New Roman" w:hAnsi="Times New Roman" w:cs="Times New Roman"/>
          <w:sz w:val="24"/>
          <w:szCs w:val="24"/>
        </w:rPr>
      </w:pPr>
      <w:r>
        <w:rPr>
          <w:rFonts w:ascii="Times New Roman" w:hAnsi="Times New Roman" w:cs="Times New Roman"/>
          <w:sz w:val="24"/>
          <w:szCs w:val="24"/>
        </w:rPr>
        <w:t xml:space="preserve">Die Etikettierungsschwemme ist nicht mit der gewünschten Zunahme von Inklusion gleichzusetzen! </w:t>
      </w:r>
      <w:r w:rsidR="004436A5">
        <w:rPr>
          <w:rFonts w:ascii="Times New Roman" w:hAnsi="Times New Roman" w:cs="Times New Roman"/>
          <w:sz w:val="24"/>
          <w:szCs w:val="24"/>
        </w:rPr>
        <w:t xml:space="preserve">Die Etikettierungsschwemme steht </w:t>
      </w:r>
      <w:r w:rsidR="001F0E27">
        <w:rPr>
          <w:rFonts w:ascii="Times New Roman" w:hAnsi="Times New Roman" w:cs="Times New Roman"/>
          <w:sz w:val="24"/>
          <w:szCs w:val="24"/>
        </w:rPr>
        <w:t xml:space="preserve">vielmehr </w:t>
      </w:r>
      <w:r w:rsidR="004436A5">
        <w:rPr>
          <w:rFonts w:ascii="Times New Roman" w:hAnsi="Times New Roman" w:cs="Times New Roman"/>
          <w:sz w:val="24"/>
          <w:szCs w:val="24"/>
        </w:rPr>
        <w:t>für eine beispiellose</w:t>
      </w:r>
      <w:r>
        <w:rPr>
          <w:rFonts w:ascii="Times New Roman" w:hAnsi="Times New Roman" w:cs="Times New Roman"/>
          <w:sz w:val="24"/>
          <w:szCs w:val="24"/>
        </w:rPr>
        <w:t xml:space="preserve">, </w:t>
      </w:r>
      <w:r w:rsidR="00345378">
        <w:rPr>
          <w:rFonts w:ascii="Times New Roman" w:hAnsi="Times New Roman" w:cs="Times New Roman"/>
          <w:sz w:val="24"/>
          <w:szCs w:val="24"/>
        </w:rPr>
        <w:t>inakzeptable Inflationierung</w:t>
      </w:r>
      <w:r>
        <w:rPr>
          <w:rFonts w:ascii="Times New Roman" w:hAnsi="Times New Roman" w:cs="Times New Roman"/>
          <w:sz w:val="24"/>
          <w:szCs w:val="24"/>
        </w:rPr>
        <w:t xml:space="preserve"> der Förderbedarfe. </w:t>
      </w:r>
      <w:r w:rsidR="002A5C6C">
        <w:rPr>
          <w:rFonts w:ascii="Times New Roman" w:hAnsi="Times New Roman" w:cs="Times New Roman"/>
          <w:sz w:val="24"/>
          <w:szCs w:val="24"/>
        </w:rPr>
        <w:t>Für eine derartige Überflutung der allgemeinen Schulen mit sonderpädagogischen Förder</w:t>
      </w:r>
      <w:r w:rsidR="006003FA">
        <w:rPr>
          <w:rFonts w:ascii="Times New Roman" w:hAnsi="Times New Roman" w:cs="Times New Roman"/>
          <w:sz w:val="24"/>
          <w:szCs w:val="24"/>
        </w:rPr>
        <w:t>bedarfen gibt eine keinerlei rationale Rechtfertigung</w:t>
      </w:r>
      <w:r w:rsidR="00F70E73">
        <w:rPr>
          <w:rFonts w:ascii="Times New Roman" w:hAnsi="Times New Roman" w:cs="Times New Roman"/>
          <w:sz w:val="24"/>
          <w:szCs w:val="24"/>
        </w:rPr>
        <w:t>en</w:t>
      </w:r>
      <w:r w:rsidR="006003FA">
        <w:rPr>
          <w:rFonts w:ascii="Times New Roman" w:hAnsi="Times New Roman" w:cs="Times New Roman"/>
          <w:sz w:val="24"/>
          <w:szCs w:val="24"/>
        </w:rPr>
        <w:t>. Es sind keine medizinischen Kat</w:t>
      </w:r>
      <w:r>
        <w:rPr>
          <w:rFonts w:ascii="Times New Roman" w:hAnsi="Times New Roman" w:cs="Times New Roman"/>
          <w:sz w:val="24"/>
          <w:szCs w:val="24"/>
        </w:rPr>
        <w:t>astrophen nach Art des Contergan-Skandals bekannt, die ein</w:t>
      </w:r>
      <w:r w:rsidR="006003FA">
        <w:rPr>
          <w:rFonts w:ascii="Times New Roman" w:hAnsi="Times New Roman" w:cs="Times New Roman"/>
          <w:sz w:val="24"/>
          <w:szCs w:val="24"/>
        </w:rPr>
        <w:t xml:space="preserve"> explosionsartige</w:t>
      </w:r>
      <w:r>
        <w:rPr>
          <w:rFonts w:ascii="Times New Roman" w:hAnsi="Times New Roman" w:cs="Times New Roman"/>
          <w:sz w:val="24"/>
          <w:szCs w:val="24"/>
        </w:rPr>
        <w:t>s</w:t>
      </w:r>
      <w:r w:rsidR="006003FA">
        <w:rPr>
          <w:rFonts w:ascii="Times New Roman" w:hAnsi="Times New Roman" w:cs="Times New Roman"/>
          <w:sz w:val="24"/>
          <w:szCs w:val="24"/>
        </w:rPr>
        <w:t xml:space="preserve"> Ansteigen von Förderbedarfen bei den „harten“ Förderschwerpunkten erklären und rechtfertigen könnten.</w:t>
      </w:r>
    </w:p>
    <w:p w:rsidR="006003FA" w:rsidRDefault="006003FA">
      <w:pPr>
        <w:rPr>
          <w:rFonts w:ascii="Times New Roman" w:hAnsi="Times New Roman" w:cs="Times New Roman"/>
          <w:sz w:val="24"/>
          <w:szCs w:val="24"/>
        </w:rPr>
      </w:pPr>
    </w:p>
    <w:p w:rsidR="009A0BBA" w:rsidRDefault="004436A5">
      <w:pPr>
        <w:rPr>
          <w:rFonts w:ascii="Times New Roman" w:hAnsi="Times New Roman" w:cs="Times New Roman"/>
          <w:sz w:val="24"/>
          <w:szCs w:val="24"/>
        </w:rPr>
      </w:pPr>
      <w:r>
        <w:rPr>
          <w:rFonts w:ascii="Times New Roman" w:hAnsi="Times New Roman" w:cs="Times New Roman"/>
          <w:sz w:val="24"/>
          <w:szCs w:val="24"/>
        </w:rPr>
        <w:t xml:space="preserve">Die exzessive Zuerkennung von sonderpädagogischen Förderbedarfen an </w:t>
      </w:r>
      <w:r w:rsidR="00567051">
        <w:rPr>
          <w:rFonts w:ascii="Times New Roman" w:hAnsi="Times New Roman" w:cs="Times New Roman"/>
          <w:sz w:val="24"/>
          <w:szCs w:val="24"/>
        </w:rPr>
        <w:t>Risiko-</w:t>
      </w:r>
      <w:r>
        <w:rPr>
          <w:rFonts w:ascii="Times New Roman" w:hAnsi="Times New Roman" w:cs="Times New Roman"/>
          <w:sz w:val="24"/>
          <w:szCs w:val="24"/>
        </w:rPr>
        <w:t xml:space="preserve">Schüler der Regelschule kann ambivalent bewertet werden. Ein möglicher positiver Effekt könnte die Prävention von Aussonderung sein. Die schwachen Schüler in den Regelschulen, </w:t>
      </w:r>
      <w:r w:rsidR="001F0E27">
        <w:rPr>
          <w:rFonts w:ascii="Times New Roman" w:hAnsi="Times New Roman" w:cs="Times New Roman"/>
          <w:sz w:val="24"/>
          <w:szCs w:val="24"/>
        </w:rPr>
        <w:t xml:space="preserve">also </w:t>
      </w:r>
      <w:r>
        <w:rPr>
          <w:rFonts w:ascii="Times New Roman" w:hAnsi="Times New Roman" w:cs="Times New Roman"/>
          <w:sz w:val="24"/>
          <w:szCs w:val="24"/>
        </w:rPr>
        <w:t>die Problem- und Risikoschüler</w:t>
      </w:r>
      <w:r w:rsidR="00C3175C">
        <w:rPr>
          <w:rFonts w:ascii="Times New Roman" w:hAnsi="Times New Roman" w:cs="Times New Roman"/>
          <w:sz w:val="24"/>
          <w:szCs w:val="24"/>
        </w:rPr>
        <w:t xml:space="preserve"> könnten von der präventiven Förderung, die durch die Attribuierung eines Förderbedarfs ausgelöst wird, profitieren. Ein erheblicher Anteil der zusätzlichen Ressourcen, die von vielen Bundesländer</w:t>
      </w:r>
      <w:r w:rsidR="00F70E73">
        <w:rPr>
          <w:rFonts w:ascii="Times New Roman" w:hAnsi="Times New Roman" w:cs="Times New Roman"/>
          <w:sz w:val="24"/>
          <w:szCs w:val="24"/>
        </w:rPr>
        <w:t>n</w:t>
      </w:r>
      <w:r w:rsidR="00C3175C">
        <w:rPr>
          <w:rFonts w:ascii="Times New Roman" w:hAnsi="Times New Roman" w:cs="Times New Roman"/>
          <w:sz w:val="24"/>
          <w:szCs w:val="24"/>
        </w:rPr>
        <w:t xml:space="preserve"> ohne alle Frage für Inklusion aufgebracht werden, wandert in die allgemeinen Schulen</w:t>
      </w:r>
      <w:r w:rsidR="009A0BBA">
        <w:rPr>
          <w:rFonts w:ascii="Times New Roman" w:hAnsi="Times New Roman" w:cs="Times New Roman"/>
          <w:sz w:val="24"/>
          <w:szCs w:val="24"/>
        </w:rPr>
        <w:t xml:space="preserve">. Die zusätzlichen Ressourcen landen </w:t>
      </w:r>
      <w:r w:rsidR="009A0BBA">
        <w:rPr>
          <w:rFonts w:ascii="Times New Roman" w:hAnsi="Times New Roman" w:cs="Times New Roman"/>
          <w:sz w:val="24"/>
          <w:szCs w:val="24"/>
        </w:rPr>
        <w:lastRenderedPageBreak/>
        <w:t>bei den Risikokindern, was ihnen durchaus gegönnt sei. Aber sie gehen damit zugleich</w:t>
      </w:r>
      <w:r w:rsidR="00C3175C">
        <w:rPr>
          <w:rFonts w:ascii="Times New Roman" w:hAnsi="Times New Roman" w:cs="Times New Roman"/>
          <w:sz w:val="24"/>
          <w:szCs w:val="24"/>
        </w:rPr>
        <w:t xml:space="preserve"> </w:t>
      </w:r>
      <w:proofErr w:type="spellStart"/>
      <w:r w:rsidR="00C3175C">
        <w:rPr>
          <w:rFonts w:ascii="Times New Roman" w:hAnsi="Times New Roman" w:cs="Times New Roman"/>
          <w:sz w:val="24"/>
          <w:szCs w:val="24"/>
        </w:rPr>
        <w:t>zugleich</w:t>
      </w:r>
      <w:proofErr w:type="spellEnd"/>
      <w:r w:rsidR="00C3175C">
        <w:rPr>
          <w:rFonts w:ascii="Times New Roman" w:hAnsi="Times New Roman" w:cs="Times New Roman"/>
          <w:sz w:val="24"/>
          <w:szCs w:val="24"/>
        </w:rPr>
        <w:t xml:space="preserve"> an den behinderten Schüler*innen in den Sonderschulen vorbei. </w:t>
      </w:r>
    </w:p>
    <w:p w:rsidR="009A0BBA" w:rsidRDefault="009A0BBA">
      <w:pPr>
        <w:rPr>
          <w:rFonts w:ascii="Times New Roman" w:hAnsi="Times New Roman" w:cs="Times New Roman"/>
          <w:sz w:val="24"/>
          <w:szCs w:val="24"/>
        </w:rPr>
      </w:pPr>
    </w:p>
    <w:p w:rsidR="007316DD" w:rsidRDefault="00640CBD">
      <w:pPr>
        <w:rPr>
          <w:rFonts w:ascii="Times New Roman" w:hAnsi="Times New Roman" w:cs="Times New Roman"/>
          <w:sz w:val="24"/>
          <w:szCs w:val="24"/>
        </w:rPr>
      </w:pPr>
      <w:r>
        <w:rPr>
          <w:rFonts w:ascii="Times New Roman" w:hAnsi="Times New Roman" w:cs="Times New Roman"/>
          <w:sz w:val="24"/>
          <w:szCs w:val="24"/>
        </w:rPr>
        <w:t xml:space="preserve">Das Präventionsmotiv verdient </w:t>
      </w:r>
      <w:r w:rsidR="001F0E27">
        <w:rPr>
          <w:rFonts w:ascii="Times New Roman" w:hAnsi="Times New Roman" w:cs="Times New Roman"/>
          <w:sz w:val="24"/>
          <w:szCs w:val="24"/>
        </w:rPr>
        <w:t xml:space="preserve">durchaus </w:t>
      </w:r>
      <w:r>
        <w:rPr>
          <w:rFonts w:ascii="Times New Roman" w:hAnsi="Times New Roman" w:cs="Times New Roman"/>
          <w:sz w:val="24"/>
          <w:szCs w:val="24"/>
        </w:rPr>
        <w:t>Anerkennung und Akzeptanz.</w:t>
      </w:r>
      <w:r w:rsidR="009A0BBA">
        <w:rPr>
          <w:rFonts w:ascii="Times New Roman" w:hAnsi="Times New Roman" w:cs="Times New Roman"/>
          <w:sz w:val="24"/>
          <w:szCs w:val="24"/>
        </w:rPr>
        <w:t xml:space="preserve"> </w:t>
      </w:r>
      <w:r>
        <w:rPr>
          <w:rFonts w:ascii="Times New Roman" w:hAnsi="Times New Roman" w:cs="Times New Roman"/>
          <w:sz w:val="24"/>
          <w:szCs w:val="24"/>
        </w:rPr>
        <w:t xml:space="preserve">Aber: </w:t>
      </w:r>
      <w:r w:rsidR="00C3175C">
        <w:rPr>
          <w:rFonts w:ascii="Times New Roman" w:hAnsi="Times New Roman" w:cs="Times New Roman"/>
          <w:sz w:val="24"/>
          <w:szCs w:val="24"/>
        </w:rPr>
        <w:t>Die ungebremste, leichtfertige Vergabe von Statusetiketten an Schüler der Regelschule reflektiert nicht die stigmatisierenden, schädlichen Wirkungen, die mit der Vergabe von diskriminierenden Etiketten verbunden sein können. Inklusion erweist sich in einer sparsamen Verwendung</w:t>
      </w:r>
      <w:r w:rsidR="00B23FCF">
        <w:rPr>
          <w:rFonts w:ascii="Times New Roman" w:hAnsi="Times New Roman" w:cs="Times New Roman"/>
          <w:sz w:val="24"/>
          <w:szCs w:val="24"/>
        </w:rPr>
        <w:t xml:space="preserve"> von Behinderungsetiketten und zielt auf eine weitest mögliche Dekategorisierung. Das Puschen der Inklusionsquote täuscht falsche Tatsachen vor und will glauben</w:t>
      </w:r>
      <w:r w:rsidR="00685A41">
        <w:rPr>
          <w:rFonts w:ascii="Times New Roman" w:hAnsi="Times New Roman" w:cs="Times New Roman"/>
          <w:sz w:val="24"/>
          <w:szCs w:val="24"/>
        </w:rPr>
        <w:t xml:space="preserve"> machen</w:t>
      </w:r>
      <w:r w:rsidR="00B23FCF">
        <w:rPr>
          <w:rFonts w:ascii="Times New Roman" w:hAnsi="Times New Roman" w:cs="Times New Roman"/>
          <w:sz w:val="24"/>
          <w:szCs w:val="24"/>
        </w:rPr>
        <w:t>, dass die Bildungspolitik ihrer Inklusionspflicht nachkommt. Die inklusionspolitische Propaganda rechtfertigt nicht das fragwürdige Mittel, dass „von Behinderung bedrohte“ Schüler*innen in den Regelschulen zum Freiwild diagnostischer Wilderei erklärt werden.</w:t>
      </w:r>
    </w:p>
    <w:p w:rsidR="00A05034" w:rsidRDefault="00A05034">
      <w:pPr>
        <w:rPr>
          <w:rFonts w:ascii="Times New Roman" w:hAnsi="Times New Roman" w:cs="Times New Roman"/>
          <w:sz w:val="24"/>
          <w:szCs w:val="24"/>
        </w:rPr>
      </w:pPr>
    </w:p>
    <w:p w:rsidR="00A05034" w:rsidRDefault="00A05034">
      <w:pPr>
        <w:rPr>
          <w:rFonts w:ascii="Times New Roman" w:hAnsi="Times New Roman" w:cs="Times New Roman"/>
          <w:sz w:val="24"/>
          <w:szCs w:val="24"/>
        </w:rPr>
      </w:pPr>
      <w:r>
        <w:rPr>
          <w:rFonts w:ascii="Times New Roman" w:hAnsi="Times New Roman" w:cs="Times New Roman"/>
          <w:sz w:val="24"/>
          <w:szCs w:val="24"/>
        </w:rPr>
        <w:t>Die Idee der Inklusion zielt darauf ab, den Toleranzspielraum der Normalität zu erweitern und menschliche Verschiedenheit als Normalität zu respektieren. Es kann nicht angehen, dass Schüler*innen in großen Scharen diagnostisch gescannt und als defizitär gelabelt werden. Die sonderpädagogisch</w:t>
      </w:r>
      <w:r w:rsidR="00C55361">
        <w:rPr>
          <w:rFonts w:ascii="Times New Roman" w:hAnsi="Times New Roman" w:cs="Times New Roman"/>
          <w:sz w:val="24"/>
          <w:szCs w:val="24"/>
        </w:rPr>
        <w:t>e Diagnostik darf nicht als eine Reihenuntersuchung etabliert</w:t>
      </w:r>
      <w:r>
        <w:rPr>
          <w:rFonts w:ascii="Times New Roman" w:hAnsi="Times New Roman" w:cs="Times New Roman"/>
          <w:sz w:val="24"/>
          <w:szCs w:val="24"/>
        </w:rPr>
        <w:t xml:space="preserve"> werden.</w:t>
      </w:r>
    </w:p>
    <w:p w:rsidR="00014EFA" w:rsidRDefault="00014EFA">
      <w:pPr>
        <w:rPr>
          <w:rFonts w:ascii="Times New Roman" w:hAnsi="Times New Roman" w:cs="Times New Roman"/>
          <w:i/>
          <w:sz w:val="24"/>
          <w:szCs w:val="24"/>
        </w:rPr>
      </w:pPr>
    </w:p>
    <w:p w:rsidR="00C327B2" w:rsidRPr="00C327B2" w:rsidRDefault="007316DD">
      <w:pPr>
        <w:rPr>
          <w:rFonts w:ascii="Times New Roman" w:hAnsi="Times New Roman" w:cs="Times New Roman"/>
          <w:i/>
          <w:sz w:val="24"/>
          <w:szCs w:val="24"/>
        </w:rPr>
      </w:pPr>
      <w:r w:rsidRPr="00C327B2">
        <w:rPr>
          <w:rFonts w:ascii="Times New Roman" w:hAnsi="Times New Roman" w:cs="Times New Roman"/>
          <w:i/>
          <w:sz w:val="24"/>
          <w:szCs w:val="24"/>
        </w:rPr>
        <w:t xml:space="preserve">3. </w:t>
      </w:r>
      <w:r w:rsidR="00C327B2" w:rsidRPr="00C327B2">
        <w:rPr>
          <w:rFonts w:ascii="Times New Roman" w:hAnsi="Times New Roman" w:cs="Times New Roman"/>
          <w:i/>
          <w:sz w:val="24"/>
          <w:szCs w:val="24"/>
        </w:rPr>
        <w:t>Ideologische Realitätsverzerrung</w:t>
      </w:r>
    </w:p>
    <w:p w:rsidR="00B80A30" w:rsidRDefault="00C27892">
      <w:pPr>
        <w:rPr>
          <w:rFonts w:ascii="Times New Roman" w:hAnsi="Times New Roman" w:cs="Times New Roman"/>
          <w:sz w:val="24"/>
          <w:szCs w:val="24"/>
        </w:rPr>
      </w:pPr>
      <w:r>
        <w:rPr>
          <w:rFonts w:ascii="Times New Roman" w:hAnsi="Times New Roman" w:cs="Times New Roman"/>
          <w:sz w:val="24"/>
          <w:szCs w:val="24"/>
        </w:rPr>
        <w:t>Die ungeliebte Inklusion verschafft sich in jüngerer Zeit vermehrt und lautstark Gehör durch Klagen über unzureichende Ressourcen und viel zu viele „schwierige“ Schüler*innen. Der öffentliche Diskurs suggeriert mitunter einen fortschreitenden Exodus behinderter Schüler*innen aus den Sonderschulen und ihre scharenweise Immigration in allgemeine Schule</w:t>
      </w:r>
      <w:r w:rsidR="00F70E73">
        <w:rPr>
          <w:rFonts w:ascii="Times New Roman" w:hAnsi="Times New Roman" w:cs="Times New Roman"/>
          <w:sz w:val="24"/>
          <w:szCs w:val="24"/>
        </w:rPr>
        <w:t>n</w:t>
      </w:r>
      <w:r>
        <w:rPr>
          <w:rFonts w:ascii="Times New Roman" w:hAnsi="Times New Roman" w:cs="Times New Roman"/>
          <w:sz w:val="24"/>
          <w:szCs w:val="24"/>
        </w:rPr>
        <w:t xml:space="preserve">. Dieser Verzerrung der wirklichen Inklusionsverhältnisse muss nachhaltig widersprochen werden. </w:t>
      </w:r>
      <w:r w:rsidR="00056E60">
        <w:rPr>
          <w:rFonts w:ascii="Times New Roman" w:hAnsi="Times New Roman" w:cs="Times New Roman"/>
          <w:sz w:val="24"/>
          <w:szCs w:val="24"/>
        </w:rPr>
        <w:t>Die offiziellen Statistiken der Bundesländer und der Bundesrepublik widersprechen dieser Schwarzmalerei. Der Separationsstillstand und die Etikettierungsschwemme sprechen eine andere Sprache. Regelschulen und Sonderschulen haben heute mit geringfügigen Änderungen im Wesentlichen die gleichen Schüler*innen wie in vorinklusiven Zeiten</w:t>
      </w:r>
      <w:r w:rsidR="00B61789">
        <w:rPr>
          <w:rFonts w:ascii="Times New Roman" w:hAnsi="Times New Roman" w:cs="Times New Roman"/>
          <w:sz w:val="24"/>
          <w:szCs w:val="24"/>
        </w:rPr>
        <w:t xml:space="preserve"> auch</w:t>
      </w:r>
      <w:r w:rsidR="00056E60">
        <w:rPr>
          <w:rFonts w:ascii="Times New Roman" w:hAnsi="Times New Roman" w:cs="Times New Roman"/>
          <w:sz w:val="24"/>
          <w:szCs w:val="24"/>
        </w:rPr>
        <w:t>! Die Klagen, die manche Eltern- und Lehrerverbände führen, sind empirisch nicht belegbar; es sind falsche Tatsachenbehauptungen, pure Ideologie und unverantwortliche Stimmungsmache.</w:t>
      </w:r>
    </w:p>
    <w:p w:rsidR="00056E60" w:rsidRDefault="00056E60">
      <w:pPr>
        <w:rPr>
          <w:rFonts w:ascii="Times New Roman" w:hAnsi="Times New Roman" w:cs="Times New Roman"/>
          <w:sz w:val="24"/>
          <w:szCs w:val="24"/>
        </w:rPr>
      </w:pPr>
    </w:p>
    <w:p w:rsidR="00CE249D" w:rsidRDefault="00CE249D" w:rsidP="00CE249D">
      <w:pPr>
        <w:rPr>
          <w:rFonts w:ascii="Times New Roman" w:hAnsi="Times New Roman" w:cs="Times New Roman"/>
          <w:sz w:val="24"/>
          <w:szCs w:val="24"/>
        </w:rPr>
      </w:pPr>
      <w:r>
        <w:rPr>
          <w:rFonts w:ascii="Times New Roman" w:hAnsi="Times New Roman" w:cs="Times New Roman"/>
          <w:sz w:val="24"/>
          <w:szCs w:val="24"/>
        </w:rPr>
        <w:t>Das laute Wehklagen, dass Inklusion angeblich das deutsche Bildungssystem „ruiniert“ (Felten 2017), spielt der konservativen Bildungspolitik in die Hände. Die Vertreter eines gegliederten Schulwesens in der Politik und in den Schulen, unter Lehrern und Eltern warten auf schlechte Nachrichten über Inklusion. Sie sehen sich durch schlechte Nachrichten bestätigt, dass die ungeliebte Inklus</w:t>
      </w:r>
      <w:r w:rsidR="00685A41">
        <w:rPr>
          <w:rFonts w:ascii="Times New Roman" w:hAnsi="Times New Roman" w:cs="Times New Roman"/>
          <w:sz w:val="24"/>
          <w:szCs w:val="24"/>
        </w:rPr>
        <w:t>ion nicht rund läuft und so nicht</w:t>
      </w:r>
      <w:r>
        <w:rPr>
          <w:rFonts w:ascii="Times New Roman" w:hAnsi="Times New Roman" w:cs="Times New Roman"/>
          <w:sz w:val="24"/>
          <w:szCs w:val="24"/>
        </w:rPr>
        <w:t xml:space="preserve"> geht. </w:t>
      </w:r>
      <w:r w:rsidR="005A0E0B">
        <w:rPr>
          <w:rFonts w:ascii="Times New Roman" w:hAnsi="Times New Roman" w:cs="Times New Roman"/>
          <w:sz w:val="24"/>
          <w:szCs w:val="24"/>
        </w:rPr>
        <w:t>Der schlechte Leumund der Inklusion</w:t>
      </w:r>
      <w:r w:rsidR="00206ACC">
        <w:rPr>
          <w:rFonts w:ascii="Times New Roman" w:hAnsi="Times New Roman" w:cs="Times New Roman"/>
          <w:sz w:val="24"/>
          <w:szCs w:val="24"/>
        </w:rPr>
        <w:t xml:space="preserve"> ist mittlerweile eine probate Munition für antiinklusive Wahlkämpfe und ein willkommener Vorwand, die Inklusionsreform zu drosseln oder zurückzufahren.</w:t>
      </w:r>
    </w:p>
    <w:p w:rsidR="00A7777D" w:rsidRDefault="00A7777D" w:rsidP="00CE249D">
      <w:pPr>
        <w:rPr>
          <w:rFonts w:ascii="Times New Roman" w:hAnsi="Times New Roman" w:cs="Times New Roman"/>
          <w:sz w:val="24"/>
          <w:szCs w:val="24"/>
        </w:rPr>
      </w:pPr>
    </w:p>
    <w:p w:rsidR="00D34ADD" w:rsidRDefault="00A7777D">
      <w:pPr>
        <w:rPr>
          <w:rFonts w:ascii="Times New Roman" w:hAnsi="Times New Roman" w:cs="Times New Roman"/>
          <w:sz w:val="24"/>
          <w:szCs w:val="24"/>
        </w:rPr>
      </w:pPr>
      <w:r>
        <w:rPr>
          <w:rFonts w:ascii="Times New Roman" w:hAnsi="Times New Roman" w:cs="Times New Roman"/>
          <w:sz w:val="24"/>
          <w:szCs w:val="24"/>
        </w:rPr>
        <w:t>Exemplarische Fälle für eine unbef</w:t>
      </w:r>
      <w:r w:rsidR="008325E6">
        <w:rPr>
          <w:rFonts w:ascii="Times New Roman" w:hAnsi="Times New Roman" w:cs="Times New Roman"/>
          <w:sz w:val="24"/>
          <w:szCs w:val="24"/>
        </w:rPr>
        <w:t>riedigende Inklusion, die es zu</w:t>
      </w:r>
      <w:r>
        <w:rPr>
          <w:rFonts w:ascii="Times New Roman" w:hAnsi="Times New Roman" w:cs="Times New Roman"/>
          <w:sz w:val="24"/>
          <w:szCs w:val="24"/>
        </w:rPr>
        <w:t>gestandenermaßen durchaus auch gibt, dürfen nicht verallgemeinert werden. Dramatisierende Darstellungen von fehlerhaften und unvollkommene</w:t>
      </w:r>
      <w:r w:rsidR="00AD3660">
        <w:rPr>
          <w:rFonts w:ascii="Times New Roman" w:hAnsi="Times New Roman" w:cs="Times New Roman"/>
          <w:sz w:val="24"/>
          <w:szCs w:val="24"/>
        </w:rPr>
        <w:t>n Inklusionszuständen, die durchaus</w:t>
      </w:r>
      <w:r>
        <w:rPr>
          <w:rFonts w:ascii="Times New Roman" w:hAnsi="Times New Roman" w:cs="Times New Roman"/>
          <w:sz w:val="24"/>
          <w:szCs w:val="24"/>
        </w:rPr>
        <w:t xml:space="preserve"> authentische Wahrheit für sich beanspruchen können, bedürfen einer relativierenden Einschränkung ih</w:t>
      </w:r>
      <w:r w:rsidR="005163A6">
        <w:rPr>
          <w:rFonts w:ascii="Times New Roman" w:hAnsi="Times New Roman" w:cs="Times New Roman"/>
          <w:sz w:val="24"/>
          <w:szCs w:val="24"/>
        </w:rPr>
        <w:t>res Geltungsanspruch</w:t>
      </w:r>
      <w:r>
        <w:rPr>
          <w:rFonts w:ascii="Times New Roman" w:hAnsi="Times New Roman" w:cs="Times New Roman"/>
          <w:sz w:val="24"/>
          <w:szCs w:val="24"/>
        </w:rPr>
        <w:t xml:space="preserve">s. </w:t>
      </w:r>
      <w:r w:rsidR="00D34ADD">
        <w:rPr>
          <w:rFonts w:ascii="Times New Roman" w:hAnsi="Times New Roman" w:cs="Times New Roman"/>
          <w:sz w:val="24"/>
          <w:szCs w:val="24"/>
        </w:rPr>
        <w:t xml:space="preserve">Eine </w:t>
      </w:r>
      <w:r w:rsidR="00931121">
        <w:rPr>
          <w:rFonts w:ascii="Times New Roman" w:hAnsi="Times New Roman" w:cs="Times New Roman"/>
          <w:sz w:val="24"/>
          <w:szCs w:val="24"/>
        </w:rPr>
        <w:t>als seriös geltende</w:t>
      </w:r>
      <w:r w:rsidR="00D34ADD">
        <w:rPr>
          <w:rFonts w:ascii="Times New Roman" w:hAnsi="Times New Roman" w:cs="Times New Roman"/>
          <w:sz w:val="24"/>
          <w:szCs w:val="24"/>
        </w:rPr>
        <w:t xml:space="preserve"> Tageszeitung sollte nicht </w:t>
      </w:r>
      <w:r w:rsidR="00931121">
        <w:rPr>
          <w:rFonts w:ascii="Times New Roman" w:hAnsi="Times New Roman" w:cs="Times New Roman"/>
          <w:sz w:val="24"/>
          <w:szCs w:val="24"/>
        </w:rPr>
        <w:t xml:space="preserve">schon </w:t>
      </w:r>
      <w:r w:rsidR="00D34ADD">
        <w:rPr>
          <w:rFonts w:ascii="Times New Roman" w:hAnsi="Times New Roman" w:cs="Times New Roman"/>
          <w:sz w:val="24"/>
          <w:szCs w:val="24"/>
        </w:rPr>
        <w:t xml:space="preserve">deshalb für ein Buch eine Gefälligkeitsrezension verfassen, weil dieses Buch – wie die Zeitung </w:t>
      </w:r>
      <w:r w:rsidR="00931121">
        <w:rPr>
          <w:rFonts w:ascii="Times New Roman" w:hAnsi="Times New Roman" w:cs="Times New Roman"/>
          <w:sz w:val="24"/>
          <w:szCs w:val="24"/>
        </w:rPr>
        <w:t xml:space="preserve">ja </w:t>
      </w:r>
      <w:r w:rsidR="0078570E">
        <w:rPr>
          <w:rFonts w:ascii="Times New Roman" w:hAnsi="Times New Roman" w:cs="Times New Roman"/>
          <w:sz w:val="24"/>
          <w:szCs w:val="24"/>
        </w:rPr>
        <w:t>auch – gegen Inklusion wettert und agitiert</w:t>
      </w:r>
      <w:r w:rsidR="00D34ADD">
        <w:rPr>
          <w:rFonts w:ascii="Times New Roman" w:hAnsi="Times New Roman" w:cs="Times New Roman"/>
          <w:sz w:val="24"/>
          <w:szCs w:val="24"/>
        </w:rPr>
        <w:t xml:space="preserve"> (Schmoll 2017). </w:t>
      </w:r>
      <w:r>
        <w:rPr>
          <w:rFonts w:ascii="Times New Roman" w:hAnsi="Times New Roman" w:cs="Times New Roman"/>
          <w:sz w:val="24"/>
          <w:szCs w:val="24"/>
        </w:rPr>
        <w:t>Meinungsumfragen, die von Lehrergewerkschaften</w:t>
      </w:r>
      <w:r w:rsidR="0029437B">
        <w:rPr>
          <w:rFonts w:ascii="Times New Roman" w:hAnsi="Times New Roman" w:cs="Times New Roman"/>
          <w:sz w:val="24"/>
          <w:szCs w:val="24"/>
        </w:rPr>
        <w:t xml:space="preserve"> aus Gründen einer legitimen</w:t>
      </w:r>
      <w:r w:rsidR="001D3A54">
        <w:rPr>
          <w:rFonts w:ascii="Times New Roman" w:hAnsi="Times New Roman" w:cs="Times New Roman"/>
          <w:sz w:val="24"/>
          <w:szCs w:val="24"/>
        </w:rPr>
        <w:t xml:space="preserve"> Verfolgung berufsständischer Interessen </w:t>
      </w:r>
      <w:r w:rsidR="001D3A54">
        <w:rPr>
          <w:rFonts w:ascii="Times New Roman" w:hAnsi="Times New Roman" w:cs="Times New Roman"/>
          <w:sz w:val="24"/>
          <w:szCs w:val="24"/>
        </w:rPr>
        <w:lastRenderedPageBreak/>
        <w:t xml:space="preserve">in Auftrag gegeben werden, präsentieren </w:t>
      </w:r>
      <w:r w:rsidR="00D34ADD">
        <w:rPr>
          <w:rFonts w:ascii="Times New Roman" w:hAnsi="Times New Roman" w:cs="Times New Roman"/>
          <w:sz w:val="24"/>
          <w:szCs w:val="24"/>
        </w:rPr>
        <w:t xml:space="preserve">zwar </w:t>
      </w:r>
      <w:r w:rsidR="001D3A54">
        <w:rPr>
          <w:rFonts w:ascii="Times New Roman" w:hAnsi="Times New Roman" w:cs="Times New Roman"/>
          <w:sz w:val="24"/>
          <w:szCs w:val="24"/>
        </w:rPr>
        <w:t xml:space="preserve">Stimmungen, aber keine realwissenschaftlichen Fakten. </w:t>
      </w:r>
    </w:p>
    <w:p w:rsidR="00D34ADD" w:rsidRDefault="00D34ADD">
      <w:pPr>
        <w:rPr>
          <w:rFonts w:ascii="Times New Roman" w:hAnsi="Times New Roman" w:cs="Times New Roman"/>
          <w:sz w:val="24"/>
          <w:szCs w:val="24"/>
        </w:rPr>
      </w:pPr>
    </w:p>
    <w:p w:rsidR="007316DD" w:rsidRDefault="00DA65EF">
      <w:pPr>
        <w:rPr>
          <w:rFonts w:ascii="Times New Roman" w:hAnsi="Times New Roman" w:cs="Times New Roman"/>
          <w:sz w:val="24"/>
          <w:szCs w:val="24"/>
        </w:rPr>
      </w:pPr>
      <w:r>
        <w:rPr>
          <w:rFonts w:ascii="Times New Roman" w:hAnsi="Times New Roman" w:cs="Times New Roman"/>
          <w:sz w:val="24"/>
          <w:szCs w:val="24"/>
        </w:rPr>
        <w:t xml:space="preserve">Das öffentliche Image der Inklusion wird derzeit in erheblichem Maße von antiinklusiven Einstellungen und antiinklusiven Interessen geprägt, die sich über jegliche wissenschaftliche Redlichkeit hinwegsetzen. Es ist sehr bedauerlich, dass der Kampf gegen Inklusion mit populistischen Fakes geführt wird. </w:t>
      </w:r>
      <w:r w:rsidR="00206ACC">
        <w:rPr>
          <w:rFonts w:ascii="Times New Roman" w:hAnsi="Times New Roman" w:cs="Times New Roman"/>
          <w:sz w:val="24"/>
          <w:szCs w:val="24"/>
        </w:rPr>
        <w:t>Es ist notwendig</w:t>
      </w:r>
      <w:r w:rsidR="0078570E">
        <w:rPr>
          <w:rFonts w:ascii="Times New Roman" w:hAnsi="Times New Roman" w:cs="Times New Roman"/>
          <w:sz w:val="24"/>
          <w:szCs w:val="24"/>
        </w:rPr>
        <w:t>, Eltern- und Lehrerverbände zu</w:t>
      </w:r>
      <w:r w:rsidR="00206ACC">
        <w:rPr>
          <w:rFonts w:ascii="Times New Roman" w:hAnsi="Times New Roman" w:cs="Times New Roman"/>
          <w:sz w:val="24"/>
          <w:szCs w:val="24"/>
        </w:rPr>
        <w:t xml:space="preserve"> wissenschaftlicher Redlichkeit zu ermahnen. </w:t>
      </w:r>
      <w:r>
        <w:rPr>
          <w:rFonts w:ascii="Times New Roman" w:hAnsi="Times New Roman" w:cs="Times New Roman"/>
          <w:sz w:val="24"/>
          <w:szCs w:val="24"/>
        </w:rPr>
        <w:t xml:space="preserve">Nicht die Inklusion ruiniert das Bildungswesen, wie </w:t>
      </w:r>
      <w:r w:rsidR="00F70E73">
        <w:rPr>
          <w:rFonts w:ascii="Times New Roman" w:hAnsi="Times New Roman" w:cs="Times New Roman"/>
          <w:sz w:val="24"/>
          <w:szCs w:val="24"/>
        </w:rPr>
        <w:t xml:space="preserve">die </w:t>
      </w:r>
      <w:r>
        <w:rPr>
          <w:rFonts w:ascii="Times New Roman" w:hAnsi="Times New Roman" w:cs="Times New Roman"/>
          <w:sz w:val="24"/>
          <w:szCs w:val="24"/>
        </w:rPr>
        <w:t>konservative Inklusionskritik behauptet,</w:t>
      </w:r>
      <w:r w:rsidR="00C55361">
        <w:rPr>
          <w:rFonts w:ascii="Times New Roman" w:hAnsi="Times New Roman" w:cs="Times New Roman"/>
          <w:sz w:val="24"/>
          <w:szCs w:val="24"/>
        </w:rPr>
        <w:t xml:space="preserve"> </w:t>
      </w:r>
      <w:r w:rsidR="00D34ADD">
        <w:rPr>
          <w:rFonts w:ascii="Times New Roman" w:hAnsi="Times New Roman" w:cs="Times New Roman"/>
          <w:sz w:val="24"/>
          <w:szCs w:val="24"/>
        </w:rPr>
        <w:t xml:space="preserve">sondern </w:t>
      </w:r>
      <w:r w:rsidR="00C55361">
        <w:rPr>
          <w:rFonts w:ascii="Times New Roman" w:hAnsi="Times New Roman" w:cs="Times New Roman"/>
          <w:sz w:val="24"/>
          <w:szCs w:val="24"/>
        </w:rPr>
        <w:t xml:space="preserve">das gegliederte Schulwesen selbst ist den </w:t>
      </w:r>
      <w:r w:rsidR="00272696">
        <w:rPr>
          <w:rFonts w:ascii="Times New Roman" w:hAnsi="Times New Roman" w:cs="Times New Roman"/>
          <w:sz w:val="24"/>
          <w:szCs w:val="24"/>
        </w:rPr>
        <w:t>empirischen Nachweis seiner vorgeblichen Exzellenz schuldig geblieben</w:t>
      </w:r>
      <w:r w:rsidR="00692C0D">
        <w:rPr>
          <w:rFonts w:ascii="Times New Roman" w:hAnsi="Times New Roman" w:cs="Times New Roman"/>
          <w:sz w:val="24"/>
          <w:szCs w:val="24"/>
        </w:rPr>
        <w:t xml:space="preserve">. Das deutsche Bildungssystem hat in PISA 2000 </w:t>
      </w:r>
      <w:r w:rsidR="0078570E">
        <w:rPr>
          <w:rFonts w:ascii="Times New Roman" w:hAnsi="Times New Roman" w:cs="Times New Roman"/>
          <w:sz w:val="24"/>
          <w:szCs w:val="24"/>
        </w:rPr>
        <w:t xml:space="preserve">und 2003 </w:t>
      </w:r>
      <w:r w:rsidR="00692C0D">
        <w:rPr>
          <w:rFonts w:ascii="Times New Roman" w:hAnsi="Times New Roman" w:cs="Times New Roman"/>
          <w:sz w:val="24"/>
          <w:szCs w:val="24"/>
        </w:rPr>
        <w:t>weit vor jeglicher Inklusion im internationalen Vergleich schlecht abgeschnitten. Die Misere der gegliederten Bildungssystems nun der Inklusion anzulasten, entspringt einer durchsichtigen Suche nach einem Sündenbock.</w:t>
      </w:r>
    </w:p>
    <w:p w:rsidR="007316DD" w:rsidRDefault="007316DD">
      <w:pPr>
        <w:rPr>
          <w:rFonts w:ascii="Times New Roman" w:hAnsi="Times New Roman" w:cs="Times New Roman"/>
          <w:sz w:val="24"/>
          <w:szCs w:val="24"/>
        </w:rPr>
      </w:pPr>
    </w:p>
    <w:p w:rsidR="00C327B2" w:rsidRDefault="005648FF" w:rsidP="005648FF">
      <w:pPr>
        <w:rPr>
          <w:rFonts w:ascii="Times New Roman" w:hAnsi="Times New Roman" w:cs="Times New Roman"/>
          <w:i/>
          <w:sz w:val="24"/>
          <w:szCs w:val="24"/>
        </w:rPr>
      </w:pPr>
      <w:r w:rsidRPr="00C327B2">
        <w:rPr>
          <w:rFonts w:ascii="Times New Roman" w:hAnsi="Times New Roman" w:cs="Times New Roman"/>
          <w:i/>
          <w:sz w:val="24"/>
          <w:szCs w:val="24"/>
        </w:rPr>
        <w:t xml:space="preserve">4. </w:t>
      </w:r>
      <w:r w:rsidR="00C327B2" w:rsidRPr="00C327B2">
        <w:rPr>
          <w:rFonts w:ascii="Times New Roman" w:hAnsi="Times New Roman" w:cs="Times New Roman"/>
          <w:i/>
          <w:sz w:val="24"/>
          <w:szCs w:val="24"/>
        </w:rPr>
        <w:t>Sonderpädagogisierung</w:t>
      </w:r>
      <w:r w:rsidR="00692C0D">
        <w:rPr>
          <w:rFonts w:ascii="Times New Roman" w:hAnsi="Times New Roman" w:cs="Times New Roman"/>
          <w:i/>
          <w:sz w:val="24"/>
          <w:szCs w:val="24"/>
        </w:rPr>
        <w:t xml:space="preserve"> des Bildungswesens</w:t>
      </w:r>
    </w:p>
    <w:p w:rsidR="00C3140E" w:rsidRDefault="00455231" w:rsidP="00C3140E">
      <w:pPr>
        <w:rPr>
          <w:rFonts w:ascii="Times New Roman" w:hAnsi="Times New Roman" w:cs="Times New Roman"/>
          <w:sz w:val="24"/>
          <w:szCs w:val="24"/>
        </w:rPr>
      </w:pPr>
      <w:r w:rsidRPr="00455231">
        <w:rPr>
          <w:rFonts w:ascii="Times New Roman" w:hAnsi="Times New Roman" w:cs="Times New Roman"/>
          <w:sz w:val="24"/>
          <w:szCs w:val="24"/>
        </w:rPr>
        <w:t>Beim Start</w:t>
      </w:r>
      <w:r>
        <w:rPr>
          <w:rFonts w:ascii="Times New Roman" w:hAnsi="Times New Roman" w:cs="Times New Roman"/>
          <w:sz w:val="24"/>
          <w:szCs w:val="24"/>
        </w:rPr>
        <w:t xml:space="preserve"> der Inklusionsreform wurde gemunkelt und orakelt, die Inklusion werde einen </w:t>
      </w:r>
      <w:r w:rsidR="005648FF" w:rsidRPr="00817537">
        <w:rPr>
          <w:rFonts w:ascii="Times New Roman" w:hAnsi="Times New Roman" w:cs="Times New Roman"/>
          <w:sz w:val="24"/>
          <w:szCs w:val="24"/>
        </w:rPr>
        <w:t>Niedergang der Sonder</w:t>
      </w:r>
      <w:r w:rsidR="005648FF">
        <w:rPr>
          <w:rFonts w:ascii="Times New Roman" w:hAnsi="Times New Roman" w:cs="Times New Roman"/>
          <w:sz w:val="24"/>
          <w:szCs w:val="24"/>
        </w:rPr>
        <w:t>p</w:t>
      </w:r>
      <w:r>
        <w:rPr>
          <w:rFonts w:ascii="Times New Roman" w:hAnsi="Times New Roman" w:cs="Times New Roman"/>
          <w:sz w:val="24"/>
          <w:szCs w:val="24"/>
        </w:rPr>
        <w:t>ädagogik herbeiführen und insbesondere für die Sonderschulen das Sterbeglöcklein läuten. Von diesen düsteren Ahnungen und Prophetien ist rundherum nach achtjähriger Reformdauer nichts zu sehen und nichts wahr geworden. Das Sonderschulwesen in Bayern (und in manch anderen Bundesländern) steht nahezu ungeschmälert und unangetastet da. Die bayerische Bildungspolitik und der bayerische Aktionsplan haben allen Sonderschulen und allen Sonderschularten eine unbefristete Bestandsgarantie ausgestellt. Der stabi</w:t>
      </w:r>
      <w:r w:rsidR="00345378">
        <w:rPr>
          <w:rFonts w:ascii="Times New Roman" w:hAnsi="Times New Roman" w:cs="Times New Roman"/>
          <w:sz w:val="24"/>
          <w:szCs w:val="24"/>
        </w:rPr>
        <w:t xml:space="preserve">le Separationsstillstand ist kein Zufall, sondern politisch </w:t>
      </w:r>
      <w:r w:rsidR="00A9262F">
        <w:rPr>
          <w:rFonts w:ascii="Times New Roman" w:hAnsi="Times New Roman" w:cs="Times New Roman"/>
          <w:sz w:val="24"/>
          <w:szCs w:val="24"/>
        </w:rPr>
        <w:t xml:space="preserve">gewollt und </w:t>
      </w:r>
      <w:r w:rsidR="00345378">
        <w:rPr>
          <w:rFonts w:ascii="Times New Roman" w:hAnsi="Times New Roman" w:cs="Times New Roman"/>
          <w:sz w:val="24"/>
          <w:szCs w:val="24"/>
        </w:rPr>
        <w:t>akzeptiert; er ist die</w:t>
      </w:r>
      <w:r>
        <w:rPr>
          <w:rFonts w:ascii="Times New Roman" w:hAnsi="Times New Roman" w:cs="Times New Roman"/>
          <w:sz w:val="24"/>
          <w:szCs w:val="24"/>
        </w:rPr>
        <w:t xml:space="preserve"> kon</w:t>
      </w:r>
      <w:r w:rsidR="00345378">
        <w:rPr>
          <w:rFonts w:ascii="Times New Roman" w:hAnsi="Times New Roman" w:cs="Times New Roman"/>
          <w:sz w:val="24"/>
          <w:szCs w:val="24"/>
        </w:rPr>
        <w:t>sequente empirische Folge einer</w:t>
      </w:r>
      <w:r>
        <w:rPr>
          <w:rFonts w:ascii="Times New Roman" w:hAnsi="Times New Roman" w:cs="Times New Roman"/>
          <w:sz w:val="24"/>
          <w:szCs w:val="24"/>
        </w:rPr>
        <w:t xml:space="preserve"> i</w:t>
      </w:r>
      <w:r w:rsidR="006D4458">
        <w:rPr>
          <w:rFonts w:ascii="Times New Roman" w:hAnsi="Times New Roman" w:cs="Times New Roman"/>
          <w:sz w:val="24"/>
          <w:szCs w:val="24"/>
        </w:rPr>
        <w:t>m Wortsinne</w:t>
      </w:r>
      <w:r w:rsidR="00C3140E">
        <w:rPr>
          <w:rFonts w:ascii="Times New Roman" w:hAnsi="Times New Roman" w:cs="Times New Roman"/>
          <w:sz w:val="24"/>
          <w:szCs w:val="24"/>
        </w:rPr>
        <w:t xml:space="preserve"> konservierenden Separationspolitik.</w:t>
      </w:r>
    </w:p>
    <w:p w:rsidR="00C3140E" w:rsidRDefault="00C3140E" w:rsidP="00C3140E">
      <w:pPr>
        <w:rPr>
          <w:rFonts w:ascii="Times New Roman" w:hAnsi="Times New Roman" w:cs="Times New Roman"/>
          <w:sz w:val="24"/>
          <w:szCs w:val="24"/>
        </w:rPr>
      </w:pPr>
    </w:p>
    <w:p w:rsidR="009038D1" w:rsidRDefault="005648FF" w:rsidP="00C3140E">
      <w:pPr>
        <w:rPr>
          <w:rFonts w:ascii="Times New Roman" w:hAnsi="Times New Roman" w:cs="Times New Roman"/>
          <w:sz w:val="24"/>
          <w:szCs w:val="24"/>
        </w:rPr>
      </w:pPr>
      <w:r>
        <w:rPr>
          <w:rFonts w:ascii="Times New Roman" w:hAnsi="Times New Roman" w:cs="Times New Roman"/>
          <w:sz w:val="24"/>
          <w:szCs w:val="24"/>
        </w:rPr>
        <w:t xml:space="preserve">Das Territorium der Sonderpädagogik ist durch Inklusion </w:t>
      </w:r>
      <w:r w:rsidR="00C3140E">
        <w:rPr>
          <w:rFonts w:ascii="Times New Roman" w:hAnsi="Times New Roman" w:cs="Times New Roman"/>
          <w:sz w:val="24"/>
          <w:szCs w:val="24"/>
        </w:rPr>
        <w:t xml:space="preserve">wahrlich </w:t>
      </w:r>
      <w:r>
        <w:rPr>
          <w:rFonts w:ascii="Times New Roman" w:hAnsi="Times New Roman" w:cs="Times New Roman"/>
          <w:sz w:val="24"/>
          <w:szCs w:val="24"/>
        </w:rPr>
        <w:t xml:space="preserve">nicht kleiner, sondern </w:t>
      </w:r>
      <w:r w:rsidR="00C3140E">
        <w:rPr>
          <w:rFonts w:ascii="Times New Roman" w:hAnsi="Times New Roman" w:cs="Times New Roman"/>
          <w:sz w:val="24"/>
          <w:szCs w:val="24"/>
        </w:rPr>
        <w:t xml:space="preserve">im Gegenteil sogar </w:t>
      </w:r>
      <w:r>
        <w:rPr>
          <w:rFonts w:ascii="Times New Roman" w:hAnsi="Times New Roman" w:cs="Times New Roman"/>
          <w:sz w:val="24"/>
          <w:szCs w:val="24"/>
        </w:rPr>
        <w:t>größer geworden</w:t>
      </w:r>
      <w:r w:rsidR="00C3140E">
        <w:rPr>
          <w:rFonts w:ascii="Times New Roman" w:hAnsi="Times New Roman" w:cs="Times New Roman"/>
          <w:sz w:val="24"/>
          <w:szCs w:val="24"/>
        </w:rPr>
        <w:t xml:space="preserve">. Durch die Etikettierungsschwemme, an der die sonderpädagogische Diagnostik ja kräftig mitgewirkt hat, hat sich die Sonderpädagogik zudem neue Arbeitsfelder und Zuständigkeitsreviere erschlossen. Das gesamte Reich der Sonderpädagogik ist durch eine ungezügelte und ungebremste Etikettierungsdiagnostik in einem ungeahnten Ausmaß gewachsen. </w:t>
      </w:r>
    </w:p>
    <w:p w:rsidR="009038D1" w:rsidRDefault="009038D1" w:rsidP="00C3140E">
      <w:pPr>
        <w:rPr>
          <w:rFonts w:ascii="Times New Roman" w:hAnsi="Times New Roman" w:cs="Times New Roman"/>
          <w:sz w:val="24"/>
          <w:szCs w:val="24"/>
        </w:rPr>
      </w:pPr>
    </w:p>
    <w:p w:rsidR="005648FF" w:rsidRDefault="00C3140E" w:rsidP="00C3140E">
      <w:pPr>
        <w:rPr>
          <w:rFonts w:ascii="Times New Roman" w:hAnsi="Times New Roman" w:cs="Times New Roman"/>
          <w:sz w:val="24"/>
          <w:szCs w:val="24"/>
        </w:rPr>
      </w:pPr>
      <w:r>
        <w:rPr>
          <w:rFonts w:ascii="Times New Roman" w:hAnsi="Times New Roman" w:cs="Times New Roman"/>
          <w:sz w:val="24"/>
          <w:szCs w:val="24"/>
        </w:rPr>
        <w:t>Ein Ende der Expansion sonderpädagogischer Reviere ist derzeit noch nicht i</w:t>
      </w:r>
      <w:r w:rsidR="00A9262F">
        <w:rPr>
          <w:rFonts w:ascii="Times New Roman" w:hAnsi="Times New Roman" w:cs="Times New Roman"/>
          <w:sz w:val="24"/>
          <w:szCs w:val="24"/>
        </w:rPr>
        <w:t>n Sicht, aber es wird unvermeidlich</w:t>
      </w:r>
      <w:r>
        <w:rPr>
          <w:rFonts w:ascii="Times New Roman" w:hAnsi="Times New Roman" w:cs="Times New Roman"/>
          <w:sz w:val="24"/>
          <w:szCs w:val="24"/>
        </w:rPr>
        <w:t xml:space="preserve"> kommen. Nicht Vernunft und weise Selbstbeschränkung werden dem progredienten Ausbau der Sonder</w:t>
      </w:r>
      <w:r w:rsidR="004573B0">
        <w:rPr>
          <w:rFonts w:ascii="Times New Roman" w:hAnsi="Times New Roman" w:cs="Times New Roman"/>
          <w:sz w:val="24"/>
          <w:szCs w:val="24"/>
        </w:rPr>
        <w:t xml:space="preserve">pädagogik Grenzen setzen, sondern harte Realitäten und endliche Finanzen. Schon jetzt mangelt es in Bayern wie auch in anderen Bundesländern an Sonderpädagogen; wie der erwartbare </w:t>
      </w:r>
      <w:r w:rsidR="00FB1521">
        <w:rPr>
          <w:rFonts w:ascii="Times New Roman" w:hAnsi="Times New Roman" w:cs="Times New Roman"/>
          <w:sz w:val="24"/>
          <w:szCs w:val="24"/>
        </w:rPr>
        <w:t>Mangel an Sonderpädagogen</w:t>
      </w:r>
      <w:r w:rsidR="004573B0">
        <w:rPr>
          <w:rFonts w:ascii="Times New Roman" w:hAnsi="Times New Roman" w:cs="Times New Roman"/>
          <w:sz w:val="24"/>
          <w:szCs w:val="24"/>
        </w:rPr>
        <w:t xml:space="preserve"> aufgefangen werden soll, ist nicht in Sicht. Und eine Inklusionsreform, die nach bayerischem Muster als ein Parallelsystem von Inklusion und Separation betrieben wird, kostet Geld, sehr viel Geld. Dass auch im sehr reichen Bayern die Gelder für die Erhaltung und den Ausbau des Doppelsystems von Inklusion und Separatio</w:t>
      </w:r>
      <w:r w:rsidR="007A0BFD">
        <w:rPr>
          <w:rFonts w:ascii="Times New Roman" w:hAnsi="Times New Roman" w:cs="Times New Roman"/>
          <w:sz w:val="24"/>
          <w:szCs w:val="24"/>
        </w:rPr>
        <w:t xml:space="preserve">n knapper werden, bekommen </w:t>
      </w:r>
      <w:r w:rsidR="00685A41">
        <w:rPr>
          <w:rFonts w:ascii="Times New Roman" w:hAnsi="Times New Roman" w:cs="Times New Roman"/>
          <w:sz w:val="24"/>
          <w:szCs w:val="24"/>
        </w:rPr>
        <w:t xml:space="preserve">schon jetzt </w:t>
      </w:r>
      <w:r w:rsidR="007A0BFD">
        <w:rPr>
          <w:rFonts w:ascii="Times New Roman" w:hAnsi="Times New Roman" w:cs="Times New Roman"/>
          <w:sz w:val="24"/>
          <w:szCs w:val="24"/>
        </w:rPr>
        <w:t>etwa</w:t>
      </w:r>
      <w:r w:rsidR="004573B0">
        <w:rPr>
          <w:rFonts w:ascii="Times New Roman" w:hAnsi="Times New Roman" w:cs="Times New Roman"/>
          <w:sz w:val="24"/>
          <w:szCs w:val="24"/>
        </w:rPr>
        <w:t xml:space="preserve"> jene Schulen zu spüren, die vom Kultusministerium als „Schule mit dem Schulprofil Inklusion“ ausgezeichnet werden. Diese</w:t>
      </w:r>
      <w:r w:rsidR="008D7AD0">
        <w:rPr>
          <w:rFonts w:ascii="Times New Roman" w:hAnsi="Times New Roman" w:cs="Times New Roman"/>
          <w:sz w:val="24"/>
          <w:szCs w:val="24"/>
        </w:rPr>
        <w:t>n Schulen wird zwar in einem feierlichen, pressewirksamen Akt die Urkunde „Schulprofil Inklusion“ überreicht, aber auf zusätzliche personelle Ressourcen für ihre inklusionspädagogische Pionierarbeit dürfen sie nicht hoffen. Es ist nicht unrealistisch anzunehmen, dass sich die restriktiven Tendenzen in der Inklusionsfinanzierung fortsetzen w</w:t>
      </w:r>
      <w:r w:rsidR="00F70E73">
        <w:rPr>
          <w:rFonts w:ascii="Times New Roman" w:hAnsi="Times New Roman" w:cs="Times New Roman"/>
          <w:sz w:val="24"/>
          <w:szCs w:val="24"/>
        </w:rPr>
        <w:t>erden. Zu befürchten ist</w:t>
      </w:r>
      <w:r w:rsidR="008D7AD0">
        <w:rPr>
          <w:rFonts w:ascii="Times New Roman" w:hAnsi="Times New Roman" w:cs="Times New Roman"/>
          <w:sz w:val="24"/>
          <w:szCs w:val="24"/>
        </w:rPr>
        <w:t>, dass für die Expansion der Sonderpädagogik in die allgemein</w:t>
      </w:r>
      <w:r w:rsidR="009038D1">
        <w:rPr>
          <w:rFonts w:ascii="Times New Roman" w:hAnsi="Times New Roman" w:cs="Times New Roman"/>
          <w:sz w:val="24"/>
          <w:szCs w:val="24"/>
        </w:rPr>
        <w:t>en Schulen letztlich dann</w:t>
      </w:r>
      <w:r w:rsidR="008D7AD0">
        <w:rPr>
          <w:rFonts w:ascii="Times New Roman" w:hAnsi="Times New Roman" w:cs="Times New Roman"/>
          <w:sz w:val="24"/>
          <w:szCs w:val="24"/>
        </w:rPr>
        <w:t xml:space="preserve"> eine karg ausgestattete Inklusion </w:t>
      </w:r>
      <w:r w:rsidR="009038D1">
        <w:rPr>
          <w:rFonts w:ascii="Times New Roman" w:hAnsi="Times New Roman" w:cs="Times New Roman"/>
          <w:sz w:val="24"/>
          <w:szCs w:val="24"/>
        </w:rPr>
        <w:t xml:space="preserve">allein </w:t>
      </w:r>
      <w:r w:rsidR="008D7AD0">
        <w:rPr>
          <w:rFonts w:ascii="Times New Roman" w:hAnsi="Times New Roman" w:cs="Times New Roman"/>
          <w:sz w:val="24"/>
          <w:szCs w:val="24"/>
        </w:rPr>
        <w:t>bezahlen muss.</w:t>
      </w:r>
    </w:p>
    <w:p w:rsidR="00C3140E" w:rsidRDefault="00C3140E" w:rsidP="00C3140E">
      <w:pPr>
        <w:rPr>
          <w:rFonts w:ascii="Times New Roman" w:hAnsi="Times New Roman" w:cs="Times New Roman"/>
          <w:sz w:val="24"/>
          <w:szCs w:val="24"/>
        </w:rPr>
      </w:pPr>
    </w:p>
    <w:p w:rsidR="007A65AB" w:rsidRDefault="007A65AB" w:rsidP="007A65AB">
      <w:pPr>
        <w:rPr>
          <w:rFonts w:ascii="Times New Roman" w:hAnsi="Times New Roman" w:cs="Times New Roman"/>
          <w:sz w:val="24"/>
          <w:szCs w:val="24"/>
        </w:rPr>
      </w:pPr>
      <w:r>
        <w:rPr>
          <w:rFonts w:ascii="Times New Roman" w:hAnsi="Times New Roman" w:cs="Times New Roman"/>
          <w:sz w:val="24"/>
          <w:szCs w:val="24"/>
        </w:rPr>
        <w:lastRenderedPageBreak/>
        <w:t xml:space="preserve">Die Inklusionsreform steht in Bayern </w:t>
      </w:r>
      <w:r w:rsidR="008D7AD0">
        <w:rPr>
          <w:rFonts w:ascii="Times New Roman" w:hAnsi="Times New Roman" w:cs="Times New Roman"/>
          <w:sz w:val="24"/>
          <w:szCs w:val="24"/>
        </w:rPr>
        <w:t>erst ganz am Anfang, ja sie hat noch nicht einmal ernsthaft</w:t>
      </w:r>
      <w:r>
        <w:rPr>
          <w:rFonts w:ascii="Times New Roman" w:hAnsi="Times New Roman" w:cs="Times New Roman"/>
          <w:sz w:val="24"/>
          <w:szCs w:val="24"/>
        </w:rPr>
        <w:t xml:space="preserve"> begonnen.</w:t>
      </w:r>
      <w:r w:rsidR="008D7AD0">
        <w:rPr>
          <w:rFonts w:ascii="Times New Roman" w:hAnsi="Times New Roman" w:cs="Times New Roman"/>
          <w:sz w:val="24"/>
          <w:szCs w:val="24"/>
        </w:rPr>
        <w:t xml:space="preserve"> </w:t>
      </w:r>
      <w:r w:rsidR="003B5271">
        <w:rPr>
          <w:rFonts w:ascii="Times New Roman" w:hAnsi="Times New Roman" w:cs="Times New Roman"/>
          <w:sz w:val="24"/>
          <w:szCs w:val="24"/>
        </w:rPr>
        <w:t>Die Gleichzeitigkeit von Separationsstillstand und Etikettierungsschwemme beschwört unweigerlich zunehmende finanzielle Engpässe he</w:t>
      </w:r>
      <w:r w:rsidR="00FB1521">
        <w:rPr>
          <w:rFonts w:ascii="Times New Roman" w:hAnsi="Times New Roman" w:cs="Times New Roman"/>
          <w:sz w:val="24"/>
          <w:szCs w:val="24"/>
        </w:rPr>
        <w:t>rauf, die für beide Systeme empfindliche Qualitätseinbußen zur Folge</w:t>
      </w:r>
      <w:r w:rsidR="003B5271">
        <w:rPr>
          <w:rFonts w:ascii="Times New Roman" w:hAnsi="Times New Roman" w:cs="Times New Roman"/>
          <w:sz w:val="24"/>
          <w:szCs w:val="24"/>
        </w:rPr>
        <w:t xml:space="preserve"> haben werden. Die notwendigen Maßnahmen einer unerlässlichen Umsteuerung der bayerischen Inklusionspolitik liegen auf der Hand. Sie heißen erstens kontrollierte Begrenzung der Zuschreibung von sonderpädagogischen Förderbedarfen in den allgemeinen Schulen und zweitens ein konsequenter</w:t>
      </w:r>
      <w:r w:rsidR="000B17CF">
        <w:rPr>
          <w:rFonts w:ascii="Times New Roman" w:hAnsi="Times New Roman" w:cs="Times New Roman"/>
          <w:sz w:val="24"/>
          <w:szCs w:val="24"/>
        </w:rPr>
        <w:t xml:space="preserve"> und planvoller Rückbau der Separation von Schüler*innen in Sonderschulen.</w:t>
      </w:r>
      <w:r w:rsidR="00A9262F">
        <w:rPr>
          <w:rFonts w:ascii="Times New Roman" w:hAnsi="Times New Roman" w:cs="Times New Roman"/>
          <w:sz w:val="24"/>
          <w:szCs w:val="24"/>
        </w:rPr>
        <w:t xml:space="preserve"> Ohne eine Beendigung der Etikettierungsschwemme und ohne eine Beendigung des Separationsstillstandes wird es mit der Inklusion in Bayern (und in anderen Bundesländern) nicht weitergehen. </w:t>
      </w:r>
    </w:p>
    <w:p w:rsidR="00C84343" w:rsidRDefault="00C84343" w:rsidP="00C84343">
      <w:pPr>
        <w:rPr>
          <w:rFonts w:ascii="Times New Roman" w:hAnsi="Times New Roman" w:cs="Times New Roman"/>
          <w:sz w:val="24"/>
          <w:szCs w:val="24"/>
        </w:rPr>
      </w:pPr>
    </w:p>
    <w:p w:rsidR="00A34D91" w:rsidRDefault="00A34D91" w:rsidP="00C84343">
      <w:pPr>
        <w:rPr>
          <w:rFonts w:ascii="Times New Roman" w:hAnsi="Times New Roman" w:cs="Times New Roman"/>
          <w:b/>
          <w:sz w:val="24"/>
          <w:szCs w:val="24"/>
        </w:rPr>
      </w:pPr>
    </w:p>
    <w:p w:rsidR="004B73AB" w:rsidRDefault="004B73AB" w:rsidP="00C84343">
      <w:pPr>
        <w:rPr>
          <w:rFonts w:ascii="Times New Roman" w:hAnsi="Times New Roman" w:cs="Times New Roman"/>
          <w:b/>
          <w:sz w:val="24"/>
          <w:szCs w:val="24"/>
        </w:rPr>
      </w:pPr>
      <w:r w:rsidRPr="004B73AB">
        <w:rPr>
          <w:rFonts w:ascii="Times New Roman" w:hAnsi="Times New Roman" w:cs="Times New Roman"/>
          <w:b/>
          <w:sz w:val="24"/>
          <w:szCs w:val="24"/>
        </w:rPr>
        <w:t>Literatur</w:t>
      </w:r>
    </w:p>
    <w:p w:rsidR="00283D76" w:rsidRDefault="00283D76" w:rsidP="00C84343">
      <w:pPr>
        <w:rPr>
          <w:rFonts w:ascii="Times New Roman" w:hAnsi="Times New Roman" w:cs="Times New Roman"/>
          <w:b/>
          <w:sz w:val="24"/>
          <w:szCs w:val="24"/>
        </w:rPr>
      </w:pPr>
    </w:p>
    <w:p w:rsidR="00363832" w:rsidRPr="00363832" w:rsidRDefault="00363832" w:rsidP="00363832">
      <w:pPr>
        <w:ind w:left="709" w:hanging="709"/>
        <w:rPr>
          <w:rFonts w:ascii="Times New Roman" w:eastAsia="Times New Roman" w:hAnsi="Times New Roman" w:cs="Times New Roman"/>
          <w:sz w:val="24"/>
          <w:szCs w:val="24"/>
          <w:lang w:eastAsia="de-DE"/>
        </w:rPr>
      </w:pPr>
      <w:r w:rsidRPr="00363832">
        <w:rPr>
          <w:rFonts w:ascii="Times New Roman" w:eastAsia="Times New Roman" w:hAnsi="Times New Roman" w:cs="Times New Roman"/>
          <w:noProof/>
          <w:sz w:val="24"/>
          <w:szCs w:val="24"/>
          <w:lang w:eastAsia="de-DE"/>
        </w:rPr>
        <w:t>[CRPD 2015] Ausschuss für die Rechte von Menschen mit Behinderungen (o.J.):</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Abschließende Bemerkungen über den ersten Staatenbericht Deutschlands. Dreizehnte Tagung 25. März - 17. April 2015</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 In: www.deutsches-institut-fuer-menschenrechte.de/…</w:t>
      </w:r>
    </w:p>
    <w:p w:rsidR="00363832" w:rsidRPr="00363832" w:rsidRDefault="00363832" w:rsidP="00363832">
      <w:pPr>
        <w:ind w:left="709" w:hanging="709"/>
        <w:rPr>
          <w:rFonts w:ascii="Times New Roman" w:eastAsia="Times New Roman" w:hAnsi="Times New Roman" w:cs="Times New Roman"/>
          <w:sz w:val="24"/>
          <w:szCs w:val="24"/>
          <w:lang w:eastAsia="de-DE"/>
        </w:rPr>
      </w:pPr>
      <w:r w:rsidRPr="00363832">
        <w:rPr>
          <w:rFonts w:ascii="Times New Roman" w:eastAsia="Times New Roman" w:hAnsi="Times New Roman" w:cs="Times New Roman"/>
          <w:noProof/>
          <w:sz w:val="24"/>
          <w:szCs w:val="24"/>
          <w:lang w:eastAsia="de-DE"/>
        </w:rPr>
        <w:t>Deutscher Bildungsrat (1973):</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Empfehlungen der Bildungskommission. Zur pädagogischen Förderung Behinderter und von Behinderung bedrohter Kinder und Jugendlicher.</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Bonn: Klett</w:t>
      </w:r>
    </w:p>
    <w:p w:rsidR="00363832" w:rsidRPr="00363832" w:rsidRDefault="00363832" w:rsidP="00363832">
      <w:pPr>
        <w:ind w:left="709" w:hanging="709"/>
        <w:rPr>
          <w:rFonts w:ascii="Times New Roman" w:eastAsia="Times New Roman" w:hAnsi="Times New Roman" w:cs="Times New Roman"/>
          <w:sz w:val="24"/>
          <w:szCs w:val="24"/>
          <w:lang w:eastAsia="de-DE"/>
        </w:rPr>
      </w:pPr>
      <w:r w:rsidRPr="00363832">
        <w:rPr>
          <w:rFonts w:ascii="Times New Roman" w:eastAsia="Times New Roman" w:hAnsi="Times New Roman" w:cs="Times New Roman"/>
          <w:noProof/>
          <w:sz w:val="24"/>
          <w:szCs w:val="24"/>
          <w:lang w:eastAsia="de-DE"/>
        </w:rPr>
        <w:t>Felten, Michael (2017):</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Die Inklusionsfalle. Wie eine gut gemeinte Idee unser Bildungssystem ruiniert.</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Gütersloh: Gütersloher Verlagshaus</w:t>
      </w:r>
    </w:p>
    <w:p w:rsidR="00363832" w:rsidRPr="00363832" w:rsidRDefault="00363832" w:rsidP="00363832">
      <w:pPr>
        <w:ind w:left="709" w:hanging="709"/>
        <w:rPr>
          <w:rFonts w:ascii="Times New Roman" w:eastAsia="Times New Roman" w:hAnsi="Times New Roman" w:cs="Times New Roman"/>
          <w:sz w:val="24"/>
          <w:szCs w:val="24"/>
          <w:lang w:eastAsia="de-DE"/>
        </w:rPr>
      </w:pPr>
      <w:r w:rsidRPr="00363832">
        <w:rPr>
          <w:rFonts w:ascii="Times New Roman" w:eastAsia="Times New Roman" w:hAnsi="Times New Roman" w:cs="Times New Roman"/>
          <w:noProof/>
          <w:sz w:val="24"/>
          <w:szCs w:val="24"/>
          <w:lang w:eastAsia="de-DE"/>
        </w:rPr>
        <w:t>Klemm, Klaus (2015):</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Inklusion in Deutschland. Daten und Fakten.</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Gütersloh: Bertelsmann</w:t>
      </w:r>
    </w:p>
    <w:p w:rsidR="00363832" w:rsidRPr="00363832" w:rsidRDefault="00363832" w:rsidP="00363832">
      <w:pPr>
        <w:ind w:left="709" w:hanging="709"/>
        <w:rPr>
          <w:rFonts w:ascii="Times New Roman" w:eastAsia="Times New Roman" w:hAnsi="Times New Roman" w:cs="Times New Roman"/>
          <w:sz w:val="24"/>
          <w:szCs w:val="24"/>
          <w:lang w:eastAsia="de-DE"/>
        </w:rPr>
      </w:pPr>
      <w:r w:rsidRPr="00363832">
        <w:rPr>
          <w:rFonts w:ascii="Times New Roman" w:eastAsia="Times New Roman" w:hAnsi="Times New Roman" w:cs="Times New Roman"/>
          <w:noProof/>
          <w:sz w:val="24"/>
          <w:szCs w:val="24"/>
          <w:lang w:eastAsia="de-DE"/>
        </w:rPr>
        <w:t>Schmoll, Heike (2017):</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Wie man sich von aller schulpolitischen Vernunft verabschieden kann.</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 www.plus.faz.net/…</w:t>
      </w:r>
    </w:p>
    <w:p w:rsidR="00363832" w:rsidRPr="00363832" w:rsidRDefault="00363832" w:rsidP="00363832">
      <w:pPr>
        <w:ind w:left="709" w:hanging="709"/>
        <w:rPr>
          <w:rFonts w:ascii="Times New Roman" w:eastAsia="Times New Roman" w:hAnsi="Times New Roman" w:cs="Times New Roman"/>
          <w:sz w:val="24"/>
          <w:szCs w:val="24"/>
          <w:lang w:eastAsia="de-DE"/>
        </w:rPr>
      </w:pPr>
      <w:r w:rsidRPr="00363832">
        <w:rPr>
          <w:rFonts w:ascii="Times New Roman" w:eastAsia="Times New Roman" w:hAnsi="Times New Roman" w:cs="Times New Roman"/>
          <w:noProof/>
          <w:sz w:val="24"/>
          <w:szCs w:val="24"/>
          <w:lang w:eastAsia="de-DE"/>
        </w:rPr>
        <w:t>Wocken, Hans (2014):</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Bayern integriert Inklusion. Über die schwierige Koexistenz widersprüchlicher Systeme.</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Hamburg: Feldhaus Verlag</w:t>
      </w:r>
    </w:p>
    <w:p w:rsidR="00363832" w:rsidRDefault="00363832" w:rsidP="00363832">
      <w:pPr>
        <w:ind w:left="709" w:hanging="709"/>
        <w:rPr>
          <w:rFonts w:ascii="Times New Roman" w:eastAsia="Times New Roman" w:hAnsi="Times New Roman" w:cs="Times New Roman"/>
          <w:noProof/>
          <w:sz w:val="24"/>
          <w:szCs w:val="24"/>
          <w:lang w:eastAsia="de-DE"/>
        </w:rPr>
      </w:pPr>
      <w:r w:rsidRPr="00363832">
        <w:rPr>
          <w:rFonts w:ascii="Times New Roman" w:eastAsia="Times New Roman" w:hAnsi="Times New Roman" w:cs="Times New Roman"/>
          <w:noProof/>
          <w:sz w:val="24"/>
          <w:szCs w:val="24"/>
          <w:lang w:eastAsia="de-DE"/>
        </w:rPr>
        <w:t>Wocken, Hans (2016):</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Die verführerische Faszination der Inklusionsquote. Ein Aufschrei gegen die Etikettierungsschw</w:t>
      </w:r>
      <w:r w:rsidR="000104DB">
        <w:rPr>
          <w:rFonts w:ascii="Times New Roman" w:eastAsia="Times New Roman" w:hAnsi="Times New Roman" w:cs="Times New Roman"/>
          <w:noProof/>
          <w:sz w:val="24"/>
          <w:szCs w:val="24"/>
          <w:lang w:eastAsia="de-DE"/>
        </w:rPr>
        <w:t>emme und den Separationsstillst</w:t>
      </w:r>
      <w:r w:rsidRPr="00363832">
        <w:rPr>
          <w:rFonts w:ascii="Times New Roman" w:eastAsia="Times New Roman" w:hAnsi="Times New Roman" w:cs="Times New Roman"/>
          <w:noProof/>
          <w:sz w:val="24"/>
          <w:szCs w:val="24"/>
          <w:lang w:eastAsia="de-DE"/>
        </w:rPr>
        <w:t>a</w:t>
      </w:r>
      <w:r w:rsidR="000104DB">
        <w:rPr>
          <w:rFonts w:ascii="Times New Roman" w:eastAsia="Times New Roman" w:hAnsi="Times New Roman" w:cs="Times New Roman"/>
          <w:noProof/>
          <w:sz w:val="24"/>
          <w:szCs w:val="24"/>
          <w:lang w:eastAsia="de-DE"/>
        </w:rPr>
        <w:t>n</w:t>
      </w:r>
      <w:r w:rsidRPr="00363832">
        <w:rPr>
          <w:rFonts w:ascii="Times New Roman" w:eastAsia="Times New Roman" w:hAnsi="Times New Roman" w:cs="Times New Roman"/>
          <w:noProof/>
          <w:sz w:val="24"/>
          <w:szCs w:val="24"/>
          <w:lang w:eastAsia="de-DE"/>
        </w:rPr>
        <w:t>d.</w:t>
      </w:r>
      <w:r w:rsidRPr="00363832">
        <w:rPr>
          <w:rFonts w:ascii="Times New Roman" w:eastAsia="Times New Roman" w:hAnsi="Times New Roman" w:cs="Times New Roman"/>
          <w:sz w:val="24"/>
          <w:szCs w:val="24"/>
          <w:lang w:eastAsia="de-DE"/>
        </w:rPr>
        <w:t xml:space="preserve"> </w:t>
      </w:r>
      <w:r w:rsidRPr="00363832">
        <w:rPr>
          <w:rFonts w:ascii="Times New Roman" w:eastAsia="Times New Roman" w:hAnsi="Times New Roman" w:cs="Times New Roman"/>
          <w:noProof/>
          <w:sz w:val="24"/>
          <w:szCs w:val="24"/>
          <w:lang w:eastAsia="de-DE"/>
        </w:rPr>
        <w:t>In: Wocken, Hans: Am Haus der inklusiven Schule. Anbauten - Anlagen - Haltestellen. Hamburg: Feldhaus Verlag , S. 45-65</w:t>
      </w:r>
    </w:p>
    <w:p w:rsidR="009A0BBA" w:rsidRDefault="009A0BBA" w:rsidP="00363832">
      <w:pPr>
        <w:ind w:left="709" w:hanging="709"/>
        <w:rPr>
          <w:rFonts w:ascii="Times New Roman" w:eastAsia="Times New Roman" w:hAnsi="Times New Roman" w:cs="Times New Roman"/>
          <w:noProof/>
          <w:sz w:val="24"/>
          <w:szCs w:val="24"/>
          <w:lang w:eastAsia="de-DE"/>
        </w:rPr>
      </w:pPr>
    </w:p>
    <w:p w:rsidR="009A0BBA" w:rsidRDefault="009A0BBA" w:rsidP="00363832">
      <w:pPr>
        <w:ind w:left="709" w:hanging="709"/>
        <w:rPr>
          <w:rFonts w:ascii="Times New Roman" w:eastAsia="Times New Roman" w:hAnsi="Times New Roman" w:cs="Times New Roman"/>
          <w:noProof/>
          <w:sz w:val="24"/>
          <w:szCs w:val="24"/>
          <w:lang w:eastAsia="de-DE"/>
        </w:rPr>
      </w:pPr>
    </w:p>
    <w:p w:rsidR="009A0BBA" w:rsidRDefault="009A0BBA" w:rsidP="00363832">
      <w:pPr>
        <w:ind w:left="709" w:hanging="709"/>
        <w:rPr>
          <w:rFonts w:ascii="Times New Roman" w:eastAsia="Times New Roman" w:hAnsi="Times New Roman" w:cs="Times New Roman"/>
          <w:noProof/>
          <w:sz w:val="24"/>
          <w:szCs w:val="24"/>
          <w:lang w:eastAsia="de-DE"/>
        </w:rPr>
      </w:pPr>
    </w:p>
    <w:p w:rsidR="009A0BBA" w:rsidRPr="009A0BBA" w:rsidRDefault="009A0BBA" w:rsidP="00363832">
      <w:pPr>
        <w:ind w:left="709" w:hanging="709"/>
        <w:rPr>
          <w:rFonts w:ascii="Times New Roman" w:eastAsia="Times New Roman" w:hAnsi="Times New Roman" w:cs="Times New Roman"/>
          <w:b/>
          <w:noProof/>
          <w:sz w:val="24"/>
          <w:szCs w:val="24"/>
          <w:lang w:eastAsia="de-DE"/>
        </w:rPr>
      </w:pPr>
      <w:r w:rsidRPr="009A0BBA">
        <w:rPr>
          <w:rFonts w:ascii="Times New Roman" w:eastAsia="Times New Roman" w:hAnsi="Times New Roman" w:cs="Times New Roman"/>
          <w:b/>
          <w:noProof/>
          <w:sz w:val="24"/>
          <w:szCs w:val="24"/>
          <w:lang w:eastAsia="de-DE"/>
        </w:rPr>
        <w:t>Prof. Dr. Hans Wocken</w:t>
      </w:r>
      <w:bookmarkStart w:id="0" w:name="_GoBack"/>
      <w:bookmarkEnd w:id="0"/>
    </w:p>
    <w:p w:rsidR="009A0BBA" w:rsidRPr="00363832" w:rsidRDefault="009A0BBA" w:rsidP="00363832">
      <w:pPr>
        <w:ind w:left="709" w:hanging="709"/>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t>hans-wocken@t-online.de</w:t>
      </w:r>
    </w:p>
    <w:p w:rsidR="00363832" w:rsidRPr="00363832" w:rsidRDefault="00363832" w:rsidP="00363832">
      <w:pPr>
        <w:ind w:left="709" w:hanging="709"/>
        <w:rPr>
          <w:rFonts w:ascii="Times New Roman" w:eastAsia="Times New Roman" w:hAnsi="Times New Roman" w:cs="Times New Roman"/>
          <w:sz w:val="24"/>
          <w:szCs w:val="24"/>
          <w:lang w:eastAsia="de-DE"/>
        </w:rPr>
      </w:pPr>
    </w:p>
    <w:p w:rsidR="0021698F" w:rsidRDefault="0021698F" w:rsidP="00C84343">
      <w:pPr>
        <w:rPr>
          <w:rFonts w:ascii="Times New Roman" w:hAnsi="Times New Roman" w:cs="Times New Roman"/>
          <w:b/>
          <w:sz w:val="24"/>
          <w:szCs w:val="24"/>
        </w:rPr>
      </w:pPr>
    </w:p>
    <w:sectPr w:rsidR="0021698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6D" w:rsidRDefault="00E4176D" w:rsidP="00B122F7">
      <w:r>
        <w:separator/>
      </w:r>
    </w:p>
  </w:endnote>
  <w:endnote w:type="continuationSeparator" w:id="0">
    <w:p w:rsidR="00E4176D" w:rsidRDefault="00E4176D" w:rsidP="00B1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15496"/>
      <w:docPartObj>
        <w:docPartGallery w:val="Page Numbers (Bottom of Page)"/>
        <w:docPartUnique/>
      </w:docPartObj>
    </w:sdtPr>
    <w:sdtEndPr/>
    <w:sdtContent>
      <w:p w:rsidR="00B122F7" w:rsidRDefault="00B122F7">
        <w:pPr>
          <w:pStyle w:val="Fuzeile"/>
          <w:jc w:val="center"/>
        </w:pPr>
      </w:p>
      <w:p w:rsidR="00B122F7" w:rsidRDefault="00B122F7">
        <w:pPr>
          <w:pStyle w:val="Fuzeile"/>
          <w:jc w:val="center"/>
        </w:pPr>
        <w:r>
          <w:fldChar w:fldCharType="begin"/>
        </w:r>
        <w:r>
          <w:instrText>PAGE   \* MERGEFORMAT</w:instrText>
        </w:r>
        <w:r>
          <w:fldChar w:fldCharType="separate"/>
        </w:r>
        <w:r w:rsidR="009A0BBA">
          <w:rPr>
            <w:noProof/>
          </w:rPr>
          <w:t>12</w:t>
        </w:r>
        <w:r>
          <w:fldChar w:fldCharType="end"/>
        </w:r>
      </w:p>
    </w:sdtContent>
  </w:sdt>
  <w:p w:rsidR="00B122F7" w:rsidRDefault="00B122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6D" w:rsidRDefault="00E4176D" w:rsidP="00B122F7">
      <w:r>
        <w:separator/>
      </w:r>
    </w:p>
  </w:footnote>
  <w:footnote w:type="continuationSeparator" w:id="0">
    <w:p w:rsidR="00E4176D" w:rsidRDefault="00E4176D" w:rsidP="00B1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CBB"/>
    <w:multiLevelType w:val="hybridMultilevel"/>
    <w:tmpl w:val="0414D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16232A"/>
    <w:multiLevelType w:val="hybridMultilevel"/>
    <w:tmpl w:val="9BFC7C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714A1A"/>
    <w:multiLevelType w:val="hybridMultilevel"/>
    <w:tmpl w:val="E6EA6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4212A1"/>
    <w:multiLevelType w:val="hybridMultilevel"/>
    <w:tmpl w:val="28F00D02"/>
    <w:lvl w:ilvl="0" w:tplc="EA045946">
      <w:start w:val="1"/>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6E57595E"/>
    <w:multiLevelType w:val="hybridMultilevel"/>
    <w:tmpl w:val="82EAB644"/>
    <w:lvl w:ilvl="0" w:tplc="99A250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17"/>
    <w:rsid w:val="00000609"/>
    <w:rsid w:val="00002DD3"/>
    <w:rsid w:val="000104DB"/>
    <w:rsid w:val="00012888"/>
    <w:rsid w:val="00014EFA"/>
    <w:rsid w:val="00015456"/>
    <w:rsid w:val="000217BC"/>
    <w:rsid w:val="000232C1"/>
    <w:rsid w:val="00025AE8"/>
    <w:rsid w:val="00025C40"/>
    <w:rsid w:val="0004496E"/>
    <w:rsid w:val="00046F68"/>
    <w:rsid w:val="00056E2A"/>
    <w:rsid w:val="00056E60"/>
    <w:rsid w:val="000602A4"/>
    <w:rsid w:val="00064E24"/>
    <w:rsid w:val="00067384"/>
    <w:rsid w:val="00076BFD"/>
    <w:rsid w:val="00077372"/>
    <w:rsid w:val="000812D9"/>
    <w:rsid w:val="000B17CF"/>
    <w:rsid w:val="000D1FAC"/>
    <w:rsid w:val="000E752A"/>
    <w:rsid w:val="0010082B"/>
    <w:rsid w:val="001240B9"/>
    <w:rsid w:val="0013251A"/>
    <w:rsid w:val="00141B90"/>
    <w:rsid w:val="00143B3A"/>
    <w:rsid w:val="0014552C"/>
    <w:rsid w:val="00196296"/>
    <w:rsid w:val="001A455C"/>
    <w:rsid w:val="001A5D63"/>
    <w:rsid w:val="001A6EFD"/>
    <w:rsid w:val="001D1A78"/>
    <w:rsid w:val="001D3A54"/>
    <w:rsid w:val="001E54AD"/>
    <w:rsid w:val="001F0E27"/>
    <w:rsid w:val="00206ACC"/>
    <w:rsid w:val="0021698F"/>
    <w:rsid w:val="00261724"/>
    <w:rsid w:val="00272696"/>
    <w:rsid w:val="00283D76"/>
    <w:rsid w:val="0029437B"/>
    <w:rsid w:val="002A5C6C"/>
    <w:rsid w:val="002D5B7A"/>
    <w:rsid w:val="002F5CC2"/>
    <w:rsid w:val="00331DC6"/>
    <w:rsid w:val="00345378"/>
    <w:rsid w:val="00346A5F"/>
    <w:rsid w:val="00353BE0"/>
    <w:rsid w:val="00363832"/>
    <w:rsid w:val="00367DEB"/>
    <w:rsid w:val="003762B9"/>
    <w:rsid w:val="003807E7"/>
    <w:rsid w:val="0038352E"/>
    <w:rsid w:val="00383E63"/>
    <w:rsid w:val="0038435A"/>
    <w:rsid w:val="00387724"/>
    <w:rsid w:val="00387B6B"/>
    <w:rsid w:val="003B5271"/>
    <w:rsid w:val="003E6A81"/>
    <w:rsid w:val="0040421B"/>
    <w:rsid w:val="004436A5"/>
    <w:rsid w:val="00455231"/>
    <w:rsid w:val="004573B0"/>
    <w:rsid w:val="00457B1A"/>
    <w:rsid w:val="00465067"/>
    <w:rsid w:val="00494E60"/>
    <w:rsid w:val="004B3353"/>
    <w:rsid w:val="004B73AB"/>
    <w:rsid w:val="004C464D"/>
    <w:rsid w:val="004F0AB3"/>
    <w:rsid w:val="005160A5"/>
    <w:rsid w:val="005163A6"/>
    <w:rsid w:val="00523623"/>
    <w:rsid w:val="005308F1"/>
    <w:rsid w:val="00530CB5"/>
    <w:rsid w:val="00550F1C"/>
    <w:rsid w:val="0055394A"/>
    <w:rsid w:val="0056093B"/>
    <w:rsid w:val="005648FF"/>
    <w:rsid w:val="00567051"/>
    <w:rsid w:val="00574E2D"/>
    <w:rsid w:val="00590B69"/>
    <w:rsid w:val="005A0E0B"/>
    <w:rsid w:val="005E209E"/>
    <w:rsid w:val="005E6FCF"/>
    <w:rsid w:val="005F0CE8"/>
    <w:rsid w:val="006003FA"/>
    <w:rsid w:val="006028F2"/>
    <w:rsid w:val="00640CBD"/>
    <w:rsid w:val="006635F7"/>
    <w:rsid w:val="00685A41"/>
    <w:rsid w:val="00692C0D"/>
    <w:rsid w:val="00697D2B"/>
    <w:rsid w:val="006A4C61"/>
    <w:rsid w:val="006C106D"/>
    <w:rsid w:val="006C1732"/>
    <w:rsid w:val="006C31BE"/>
    <w:rsid w:val="006C6011"/>
    <w:rsid w:val="006D4458"/>
    <w:rsid w:val="00716BAE"/>
    <w:rsid w:val="00716DC7"/>
    <w:rsid w:val="007223EC"/>
    <w:rsid w:val="007316DD"/>
    <w:rsid w:val="0073481C"/>
    <w:rsid w:val="00754D56"/>
    <w:rsid w:val="007554A0"/>
    <w:rsid w:val="007756C3"/>
    <w:rsid w:val="0078570E"/>
    <w:rsid w:val="007A0BFD"/>
    <w:rsid w:val="007A65AB"/>
    <w:rsid w:val="007B1995"/>
    <w:rsid w:val="007C0ED3"/>
    <w:rsid w:val="007C1425"/>
    <w:rsid w:val="007C20D9"/>
    <w:rsid w:val="007C5414"/>
    <w:rsid w:val="007E68ED"/>
    <w:rsid w:val="00815D79"/>
    <w:rsid w:val="00817537"/>
    <w:rsid w:val="00822EEA"/>
    <w:rsid w:val="0082786B"/>
    <w:rsid w:val="008325E6"/>
    <w:rsid w:val="00840BF4"/>
    <w:rsid w:val="0086311B"/>
    <w:rsid w:val="00886EB5"/>
    <w:rsid w:val="008C701F"/>
    <w:rsid w:val="008D7AD0"/>
    <w:rsid w:val="008E3A3C"/>
    <w:rsid w:val="008F0BEA"/>
    <w:rsid w:val="008F4335"/>
    <w:rsid w:val="008F7A0B"/>
    <w:rsid w:val="009038D1"/>
    <w:rsid w:val="00927E39"/>
    <w:rsid w:val="00931121"/>
    <w:rsid w:val="00942F9C"/>
    <w:rsid w:val="00973C32"/>
    <w:rsid w:val="00977CD3"/>
    <w:rsid w:val="00977EEF"/>
    <w:rsid w:val="009A0BBA"/>
    <w:rsid w:val="009A36A5"/>
    <w:rsid w:val="009B673C"/>
    <w:rsid w:val="009C2A01"/>
    <w:rsid w:val="009C5A3C"/>
    <w:rsid w:val="009C7BD3"/>
    <w:rsid w:val="009E2D1F"/>
    <w:rsid w:val="00A05034"/>
    <w:rsid w:val="00A26BA3"/>
    <w:rsid w:val="00A34D91"/>
    <w:rsid w:val="00A35B02"/>
    <w:rsid w:val="00A41BE5"/>
    <w:rsid w:val="00A54915"/>
    <w:rsid w:val="00A57FBB"/>
    <w:rsid w:val="00A7777D"/>
    <w:rsid w:val="00A9262F"/>
    <w:rsid w:val="00AA732E"/>
    <w:rsid w:val="00AB37F4"/>
    <w:rsid w:val="00AB6691"/>
    <w:rsid w:val="00AD3660"/>
    <w:rsid w:val="00AD3D6B"/>
    <w:rsid w:val="00AE1FF3"/>
    <w:rsid w:val="00AE204D"/>
    <w:rsid w:val="00B11B6E"/>
    <w:rsid w:val="00B122F7"/>
    <w:rsid w:val="00B16EBE"/>
    <w:rsid w:val="00B17FF1"/>
    <w:rsid w:val="00B211AA"/>
    <w:rsid w:val="00B23FCF"/>
    <w:rsid w:val="00B27295"/>
    <w:rsid w:val="00B443F0"/>
    <w:rsid w:val="00B61789"/>
    <w:rsid w:val="00B62052"/>
    <w:rsid w:val="00B80A30"/>
    <w:rsid w:val="00B90643"/>
    <w:rsid w:val="00BC76EE"/>
    <w:rsid w:val="00BD3C7E"/>
    <w:rsid w:val="00C06978"/>
    <w:rsid w:val="00C14EC4"/>
    <w:rsid w:val="00C2703B"/>
    <w:rsid w:val="00C27892"/>
    <w:rsid w:val="00C3140E"/>
    <w:rsid w:val="00C3175C"/>
    <w:rsid w:val="00C327B2"/>
    <w:rsid w:val="00C42E30"/>
    <w:rsid w:val="00C55361"/>
    <w:rsid w:val="00C66A80"/>
    <w:rsid w:val="00C760DE"/>
    <w:rsid w:val="00C84343"/>
    <w:rsid w:val="00C929F2"/>
    <w:rsid w:val="00CA54FB"/>
    <w:rsid w:val="00CE249D"/>
    <w:rsid w:val="00CF4D67"/>
    <w:rsid w:val="00D003C6"/>
    <w:rsid w:val="00D04DED"/>
    <w:rsid w:val="00D0576D"/>
    <w:rsid w:val="00D06D1E"/>
    <w:rsid w:val="00D34ADD"/>
    <w:rsid w:val="00D60DC8"/>
    <w:rsid w:val="00D66FD8"/>
    <w:rsid w:val="00D80DB0"/>
    <w:rsid w:val="00D855E2"/>
    <w:rsid w:val="00DA65EF"/>
    <w:rsid w:val="00DD408F"/>
    <w:rsid w:val="00DF6C15"/>
    <w:rsid w:val="00E135C7"/>
    <w:rsid w:val="00E33BE8"/>
    <w:rsid w:val="00E4176D"/>
    <w:rsid w:val="00E47683"/>
    <w:rsid w:val="00E517C1"/>
    <w:rsid w:val="00E521A8"/>
    <w:rsid w:val="00E6307D"/>
    <w:rsid w:val="00E671BF"/>
    <w:rsid w:val="00E85217"/>
    <w:rsid w:val="00E95DDC"/>
    <w:rsid w:val="00EC2D63"/>
    <w:rsid w:val="00EC7788"/>
    <w:rsid w:val="00ED5F7F"/>
    <w:rsid w:val="00EE2286"/>
    <w:rsid w:val="00F276D9"/>
    <w:rsid w:val="00F3088D"/>
    <w:rsid w:val="00F55A6E"/>
    <w:rsid w:val="00F70E73"/>
    <w:rsid w:val="00F80EA2"/>
    <w:rsid w:val="00F90DFB"/>
    <w:rsid w:val="00FB1521"/>
    <w:rsid w:val="00FC1D45"/>
    <w:rsid w:val="00FE554B"/>
    <w:rsid w:val="00FF0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F7FB"/>
  <w15:chartTrackingRefBased/>
  <w15:docId w15:val="{DE5534A8-8691-42B0-892E-FBE35F67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11AA"/>
    <w:pPr>
      <w:ind w:left="720"/>
      <w:contextualSpacing/>
    </w:pPr>
  </w:style>
  <w:style w:type="paragraph" w:styleId="Sprechblasentext">
    <w:name w:val="Balloon Text"/>
    <w:basedOn w:val="Standard"/>
    <w:link w:val="SprechblasentextZchn"/>
    <w:uiPriority w:val="99"/>
    <w:semiHidden/>
    <w:unhideWhenUsed/>
    <w:rsid w:val="00BD3C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C7E"/>
    <w:rPr>
      <w:rFonts w:ascii="Segoe UI" w:hAnsi="Segoe UI" w:cs="Segoe UI"/>
      <w:sz w:val="18"/>
      <w:szCs w:val="18"/>
    </w:rPr>
  </w:style>
  <w:style w:type="paragraph" w:customStyle="1" w:styleId="Default">
    <w:name w:val="Default"/>
    <w:rsid w:val="00822EEA"/>
    <w:pPr>
      <w:autoSpaceDE w:val="0"/>
      <w:autoSpaceDN w:val="0"/>
      <w:adjustRightInd w:val="0"/>
    </w:pPr>
    <w:rPr>
      <w:rFonts w:ascii="Times New Roman PS" w:hAnsi="Times New Roman PS" w:cs="Times New Roman PS"/>
      <w:color w:val="000000"/>
      <w:sz w:val="24"/>
      <w:szCs w:val="24"/>
    </w:rPr>
  </w:style>
  <w:style w:type="paragraph" w:styleId="Kopfzeile">
    <w:name w:val="header"/>
    <w:basedOn w:val="Standard"/>
    <w:link w:val="KopfzeileZchn"/>
    <w:uiPriority w:val="99"/>
    <w:unhideWhenUsed/>
    <w:rsid w:val="00B122F7"/>
    <w:pPr>
      <w:tabs>
        <w:tab w:val="center" w:pos="4536"/>
        <w:tab w:val="right" w:pos="9072"/>
      </w:tabs>
    </w:pPr>
  </w:style>
  <w:style w:type="character" w:customStyle="1" w:styleId="KopfzeileZchn">
    <w:name w:val="Kopfzeile Zchn"/>
    <w:basedOn w:val="Absatz-Standardschriftart"/>
    <w:link w:val="Kopfzeile"/>
    <w:uiPriority w:val="99"/>
    <w:rsid w:val="00B122F7"/>
  </w:style>
  <w:style w:type="paragraph" w:styleId="Fuzeile">
    <w:name w:val="footer"/>
    <w:basedOn w:val="Standard"/>
    <w:link w:val="FuzeileZchn"/>
    <w:uiPriority w:val="99"/>
    <w:unhideWhenUsed/>
    <w:rsid w:val="00B122F7"/>
    <w:pPr>
      <w:tabs>
        <w:tab w:val="center" w:pos="4536"/>
        <w:tab w:val="right" w:pos="9072"/>
      </w:tabs>
    </w:pPr>
  </w:style>
  <w:style w:type="character" w:customStyle="1" w:styleId="FuzeileZchn">
    <w:name w:val="Fußzeile Zchn"/>
    <w:basedOn w:val="Absatz-Standardschriftart"/>
    <w:link w:val="Fuzeile"/>
    <w:uiPriority w:val="99"/>
    <w:rsid w:val="00B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8982">
      <w:bodyDiv w:val="1"/>
      <w:marLeft w:val="0"/>
      <w:marRight w:val="0"/>
      <w:marTop w:val="0"/>
      <w:marBottom w:val="0"/>
      <w:divBdr>
        <w:top w:val="none" w:sz="0" w:space="0" w:color="auto"/>
        <w:left w:val="none" w:sz="0" w:space="0" w:color="auto"/>
        <w:bottom w:val="none" w:sz="0" w:space="0" w:color="auto"/>
        <w:right w:val="none" w:sz="0" w:space="0" w:color="auto"/>
      </w:divBdr>
    </w:div>
    <w:div w:id="119614611">
      <w:bodyDiv w:val="1"/>
      <w:marLeft w:val="0"/>
      <w:marRight w:val="0"/>
      <w:marTop w:val="0"/>
      <w:marBottom w:val="0"/>
      <w:divBdr>
        <w:top w:val="none" w:sz="0" w:space="0" w:color="auto"/>
        <w:left w:val="none" w:sz="0" w:space="0" w:color="auto"/>
        <w:bottom w:val="none" w:sz="0" w:space="0" w:color="auto"/>
        <w:right w:val="none" w:sz="0" w:space="0" w:color="auto"/>
      </w:divBdr>
    </w:div>
    <w:div w:id="414984375">
      <w:bodyDiv w:val="1"/>
      <w:marLeft w:val="0"/>
      <w:marRight w:val="0"/>
      <w:marTop w:val="0"/>
      <w:marBottom w:val="0"/>
      <w:divBdr>
        <w:top w:val="none" w:sz="0" w:space="0" w:color="auto"/>
        <w:left w:val="none" w:sz="0" w:space="0" w:color="auto"/>
        <w:bottom w:val="none" w:sz="0" w:space="0" w:color="auto"/>
        <w:right w:val="none" w:sz="0" w:space="0" w:color="auto"/>
      </w:divBdr>
    </w:div>
    <w:div w:id="569269061">
      <w:bodyDiv w:val="1"/>
      <w:marLeft w:val="0"/>
      <w:marRight w:val="0"/>
      <w:marTop w:val="0"/>
      <w:marBottom w:val="0"/>
      <w:divBdr>
        <w:top w:val="none" w:sz="0" w:space="0" w:color="auto"/>
        <w:left w:val="none" w:sz="0" w:space="0" w:color="auto"/>
        <w:bottom w:val="none" w:sz="0" w:space="0" w:color="auto"/>
        <w:right w:val="none" w:sz="0" w:space="0" w:color="auto"/>
      </w:divBdr>
    </w:div>
    <w:div w:id="711542660">
      <w:bodyDiv w:val="1"/>
      <w:marLeft w:val="0"/>
      <w:marRight w:val="0"/>
      <w:marTop w:val="0"/>
      <w:marBottom w:val="0"/>
      <w:divBdr>
        <w:top w:val="none" w:sz="0" w:space="0" w:color="auto"/>
        <w:left w:val="none" w:sz="0" w:space="0" w:color="auto"/>
        <w:bottom w:val="none" w:sz="0" w:space="0" w:color="auto"/>
        <w:right w:val="none" w:sz="0" w:space="0" w:color="auto"/>
      </w:divBdr>
    </w:div>
    <w:div w:id="893542607">
      <w:bodyDiv w:val="1"/>
      <w:marLeft w:val="0"/>
      <w:marRight w:val="0"/>
      <w:marTop w:val="0"/>
      <w:marBottom w:val="0"/>
      <w:divBdr>
        <w:top w:val="none" w:sz="0" w:space="0" w:color="auto"/>
        <w:left w:val="none" w:sz="0" w:space="0" w:color="auto"/>
        <w:bottom w:val="none" w:sz="0" w:space="0" w:color="auto"/>
        <w:right w:val="none" w:sz="0" w:space="0" w:color="auto"/>
      </w:divBdr>
    </w:div>
    <w:div w:id="921572315">
      <w:bodyDiv w:val="1"/>
      <w:marLeft w:val="0"/>
      <w:marRight w:val="0"/>
      <w:marTop w:val="0"/>
      <w:marBottom w:val="0"/>
      <w:divBdr>
        <w:top w:val="none" w:sz="0" w:space="0" w:color="auto"/>
        <w:left w:val="none" w:sz="0" w:space="0" w:color="auto"/>
        <w:bottom w:val="none" w:sz="0" w:space="0" w:color="auto"/>
        <w:right w:val="none" w:sz="0" w:space="0" w:color="auto"/>
      </w:divBdr>
    </w:div>
    <w:div w:id="932666135">
      <w:bodyDiv w:val="1"/>
      <w:marLeft w:val="0"/>
      <w:marRight w:val="0"/>
      <w:marTop w:val="0"/>
      <w:marBottom w:val="0"/>
      <w:divBdr>
        <w:top w:val="none" w:sz="0" w:space="0" w:color="auto"/>
        <w:left w:val="none" w:sz="0" w:space="0" w:color="auto"/>
        <w:bottom w:val="none" w:sz="0" w:space="0" w:color="auto"/>
        <w:right w:val="none" w:sz="0" w:space="0" w:color="auto"/>
      </w:divBdr>
    </w:div>
    <w:div w:id="976229459">
      <w:bodyDiv w:val="1"/>
      <w:marLeft w:val="0"/>
      <w:marRight w:val="0"/>
      <w:marTop w:val="0"/>
      <w:marBottom w:val="0"/>
      <w:divBdr>
        <w:top w:val="none" w:sz="0" w:space="0" w:color="auto"/>
        <w:left w:val="none" w:sz="0" w:space="0" w:color="auto"/>
        <w:bottom w:val="none" w:sz="0" w:space="0" w:color="auto"/>
        <w:right w:val="none" w:sz="0" w:space="0" w:color="auto"/>
      </w:divBdr>
    </w:div>
    <w:div w:id="1010135116">
      <w:bodyDiv w:val="1"/>
      <w:marLeft w:val="0"/>
      <w:marRight w:val="0"/>
      <w:marTop w:val="0"/>
      <w:marBottom w:val="0"/>
      <w:divBdr>
        <w:top w:val="none" w:sz="0" w:space="0" w:color="auto"/>
        <w:left w:val="none" w:sz="0" w:space="0" w:color="auto"/>
        <w:bottom w:val="none" w:sz="0" w:space="0" w:color="auto"/>
        <w:right w:val="none" w:sz="0" w:space="0" w:color="auto"/>
      </w:divBdr>
    </w:div>
    <w:div w:id="1148090817">
      <w:bodyDiv w:val="1"/>
      <w:marLeft w:val="0"/>
      <w:marRight w:val="0"/>
      <w:marTop w:val="0"/>
      <w:marBottom w:val="0"/>
      <w:divBdr>
        <w:top w:val="none" w:sz="0" w:space="0" w:color="auto"/>
        <w:left w:val="none" w:sz="0" w:space="0" w:color="auto"/>
        <w:bottom w:val="none" w:sz="0" w:space="0" w:color="auto"/>
        <w:right w:val="none" w:sz="0" w:space="0" w:color="auto"/>
      </w:divBdr>
    </w:div>
    <w:div w:id="1159152480">
      <w:bodyDiv w:val="1"/>
      <w:marLeft w:val="0"/>
      <w:marRight w:val="0"/>
      <w:marTop w:val="0"/>
      <w:marBottom w:val="0"/>
      <w:divBdr>
        <w:top w:val="none" w:sz="0" w:space="0" w:color="auto"/>
        <w:left w:val="none" w:sz="0" w:space="0" w:color="auto"/>
        <w:bottom w:val="none" w:sz="0" w:space="0" w:color="auto"/>
        <w:right w:val="none" w:sz="0" w:space="0" w:color="auto"/>
      </w:divBdr>
    </w:div>
    <w:div w:id="1265381586">
      <w:bodyDiv w:val="1"/>
      <w:marLeft w:val="0"/>
      <w:marRight w:val="0"/>
      <w:marTop w:val="0"/>
      <w:marBottom w:val="0"/>
      <w:divBdr>
        <w:top w:val="none" w:sz="0" w:space="0" w:color="auto"/>
        <w:left w:val="none" w:sz="0" w:space="0" w:color="auto"/>
        <w:bottom w:val="none" w:sz="0" w:space="0" w:color="auto"/>
        <w:right w:val="none" w:sz="0" w:space="0" w:color="auto"/>
      </w:divBdr>
    </w:div>
    <w:div w:id="17329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BUCH\Buch-7-Beim\Bayern\Bayern-Daten-Compu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'Tabelle 2'!$G$2</c:f>
              <c:strCache>
                <c:ptCount val="1"/>
                <c:pt idx="0">
                  <c:v>Inklusionsschüler</c:v>
                </c:pt>
              </c:strCache>
            </c:strRef>
          </c:tx>
          <c:spPr>
            <a:ln w="12700" cap="rnd">
              <a:solidFill>
                <a:schemeClr val="tx1"/>
              </a:solidFill>
              <a:round/>
            </a:ln>
            <a:effectLst/>
          </c:spPr>
          <c:marker>
            <c:symbol val="square"/>
            <c:size val="5"/>
            <c:spPr>
              <a:solidFill>
                <a:schemeClr val="tx1"/>
              </a:solidFill>
              <a:ln w="25400">
                <a:solidFill>
                  <a:schemeClr val="tx1"/>
                </a:solidFill>
              </a:ln>
              <a:effectLst/>
            </c:spPr>
          </c:marker>
          <c:cat>
            <c:strRef>
              <c:f>'Tabelle 2'!$F$3:$F$11</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'Tabelle 2'!$G$3:$G$11</c:f>
              <c:numCache>
                <c:formatCode>0.00</c:formatCode>
                <c:ptCount val="9"/>
                <c:pt idx="0" formatCode="General">
                  <c:v>100</c:v>
                </c:pt>
                <c:pt idx="1">
                  <c:v>96.235895627644581</c:v>
                </c:pt>
                <c:pt idx="2">
                  <c:v>128.12059238363892</c:v>
                </c:pt>
                <c:pt idx="3">
                  <c:v>142.28667136812413</c:v>
                </c:pt>
                <c:pt idx="4">
                  <c:v>160.41078984485191</c:v>
                </c:pt>
                <c:pt idx="5">
                  <c:v>170.03702397743302</c:v>
                </c:pt>
                <c:pt idx="6">
                  <c:v>174.89421720733426</c:v>
                </c:pt>
                <c:pt idx="7">
                  <c:v>178.94922425952043</c:v>
                </c:pt>
                <c:pt idx="8">
                  <c:v>171.23589562764457</c:v>
                </c:pt>
              </c:numCache>
            </c:numRef>
          </c:val>
          <c:smooth val="0"/>
          <c:extLst>
            <c:ext xmlns:c16="http://schemas.microsoft.com/office/drawing/2014/chart" uri="{C3380CC4-5D6E-409C-BE32-E72D297353CC}">
              <c16:uniqueId val="{00000000-C847-469D-9D4F-7682BF27E4F4}"/>
            </c:ext>
          </c:extLst>
        </c:ser>
        <c:ser>
          <c:idx val="1"/>
          <c:order val="1"/>
          <c:tx>
            <c:strRef>
              <c:f>'Tabelle 2'!$H$2</c:f>
              <c:strCache>
                <c:ptCount val="1"/>
                <c:pt idx="0">
                  <c:v>Sonderschüler</c:v>
                </c:pt>
              </c:strCache>
            </c:strRef>
          </c:tx>
          <c:spPr>
            <a:ln w="19050" cap="rnd">
              <a:solidFill>
                <a:schemeClr val="tx1"/>
              </a:solidFill>
              <a:prstDash val="dash"/>
              <a:round/>
            </a:ln>
            <a:effectLst/>
          </c:spPr>
          <c:marker>
            <c:symbol val="circle"/>
            <c:size val="7"/>
            <c:spPr>
              <a:solidFill>
                <a:schemeClr val="tx1"/>
              </a:solidFill>
              <a:ln w="9525">
                <a:solidFill>
                  <a:schemeClr val="tx1"/>
                </a:solidFill>
              </a:ln>
              <a:effectLst/>
            </c:spPr>
          </c:marker>
          <c:cat>
            <c:strRef>
              <c:f>'Tabelle 2'!$F$3:$F$11</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'Tabelle 2'!$H$3:$H$11</c:f>
              <c:numCache>
                <c:formatCode>0.0</c:formatCode>
                <c:ptCount val="9"/>
                <c:pt idx="0" formatCode="General">
                  <c:v>100</c:v>
                </c:pt>
                <c:pt idx="1">
                  <c:v>98.906112383301036</c:v>
                </c:pt>
                <c:pt idx="2">
                  <c:v>96.730667606129998</c:v>
                </c:pt>
                <c:pt idx="3">
                  <c:v>94.231107979566673</c:v>
                </c:pt>
                <c:pt idx="4">
                  <c:v>92.795490576008461</c:v>
                </c:pt>
                <c:pt idx="5">
                  <c:v>90.933591685749519</c:v>
                </c:pt>
                <c:pt idx="6">
                  <c:v>90.380482649286591</c:v>
                </c:pt>
                <c:pt idx="7">
                  <c:v>89.869649462744405</c:v>
                </c:pt>
                <c:pt idx="8" formatCode="0.00">
                  <c:v>90.431565967940813</c:v>
                </c:pt>
              </c:numCache>
            </c:numRef>
          </c:val>
          <c:smooth val="0"/>
          <c:extLst>
            <c:ext xmlns:c16="http://schemas.microsoft.com/office/drawing/2014/chart" uri="{C3380CC4-5D6E-409C-BE32-E72D297353CC}">
              <c16:uniqueId val="{00000001-C847-469D-9D4F-7682BF27E4F4}"/>
            </c:ext>
          </c:extLst>
        </c:ser>
        <c:dLbls>
          <c:showLegendKey val="0"/>
          <c:showVal val="0"/>
          <c:showCatName val="0"/>
          <c:showSerName val="0"/>
          <c:showPercent val="0"/>
          <c:showBubbleSize val="0"/>
        </c:dLbls>
        <c:marker val="1"/>
        <c:smooth val="0"/>
        <c:axId val="1689266896"/>
        <c:axId val="1689268560"/>
      </c:lineChart>
      <c:catAx>
        <c:axId val="1689266896"/>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1689268560"/>
        <c:crosses val="autoZero"/>
        <c:auto val="1"/>
        <c:lblAlgn val="ctr"/>
        <c:lblOffset val="100"/>
        <c:noMultiLvlLbl val="0"/>
      </c:catAx>
      <c:valAx>
        <c:axId val="1689268560"/>
        <c:scaling>
          <c:orientation val="minMax"/>
          <c:max val="190"/>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1689266896"/>
        <c:crosses val="autoZero"/>
        <c:crossBetween val="midCat"/>
      </c:valAx>
      <c:spPr>
        <a:noFill/>
        <a:ln>
          <a:noFill/>
        </a:ln>
        <a:effectLst/>
      </c:spPr>
    </c:plotArea>
    <c:legend>
      <c:legendPos val="b"/>
      <c:layout>
        <c:manualLayout>
          <c:xMode val="edge"/>
          <c:yMode val="edge"/>
          <c:x val="0.59395926203668981"/>
          <c:y val="0.26415455744592825"/>
          <c:w val="0.33084581128178647"/>
          <c:h val="0.1469419520234389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4724</Words>
  <Characters>29768</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2</cp:revision>
  <cp:lastPrinted>2017-08-01T14:18:00Z</cp:lastPrinted>
  <dcterms:created xsi:type="dcterms:W3CDTF">2017-08-01T15:19:00Z</dcterms:created>
  <dcterms:modified xsi:type="dcterms:W3CDTF">2017-08-01T15:19:00Z</dcterms:modified>
</cp:coreProperties>
</file>